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7D8" w:rsidRDefault="007717D8" w:rsidP="00FE6263"/>
    <w:p w:rsidR="00B15889" w:rsidRDefault="00B15889" w:rsidP="00FE6263"/>
    <w:p w:rsidR="00B15889" w:rsidRDefault="00B15889" w:rsidP="00FE6263"/>
    <w:p w:rsidR="00B15889" w:rsidRDefault="00B15889" w:rsidP="00FE6263"/>
    <w:p w:rsidR="00B15889" w:rsidRDefault="00B15889" w:rsidP="00FE6263"/>
    <w:p w:rsidR="00E647AC" w:rsidRDefault="00E647AC" w:rsidP="00FE6263"/>
    <w:p w:rsidR="00E647AC" w:rsidRDefault="00E647AC" w:rsidP="00FE6263"/>
    <w:p w:rsidR="006E304F" w:rsidRDefault="006E304F" w:rsidP="00FE6263"/>
    <w:p w:rsidR="006E304F" w:rsidRDefault="006E304F" w:rsidP="00FE6263"/>
    <w:p w:rsidR="00FB4DA9" w:rsidRPr="00FB4DA9" w:rsidRDefault="00FB4DA9" w:rsidP="00FB4DA9">
      <w:pPr>
        <w:jc w:val="center"/>
        <w:rPr>
          <w:rFonts w:ascii="Brandon Grotesque Black" w:hAnsi="Brandon Grotesque Black"/>
          <w:b/>
        </w:rPr>
      </w:pPr>
      <w:r w:rsidRPr="00FB4DA9">
        <w:rPr>
          <w:rFonts w:ascii="Brandon Grotesque Black" w:hAnsi="Brandon Grotesque Black"/>
          <w:b/>
        </w:rPr>
        <w:t xml:space="preserve">AVIS D’APPEL PUBLIC A CONCURRENCE </w:t>
      </w:r>
    </w:p>
    <w:p w:rsidR="00FB4DA9" w:rsidRPr="00FB4DA9" w:rsidRDefault="00FB4DA9" w:rsidP="00FB4DA9">
      <w:pPr>
        <w:jc w:val="center"/>
        <w:rPr>
          <w:rFonts w:ascii="Brandon Grotesque Black" w:hAnsi="Brandon Grotesque Black"/>
          <w:b/>
        </w:rPr>
      </w:pPr>
      <w:r w:rsidRPr="00FB4DA9">
        <w:rPr>
          <w:rFonts w:ascii="Brandon Grotesque Black" w:hAnsi="Brandon Grotesque Black"/>
          <w:b/>
        </w:rPr>
        <w:t xml:space="preserve"> POUR L’OCCUPATION DU DOMAINE PUBLIC COMMUNAL</w:t>
      </w:r>
    </w:p>
    <w:p w:rsidR="00FB4DA9" w:rsidRPr="00FB4DA9" w:rsidRDefault="00FB4DA9" w:rsidP="00FB4DA9">
      <w:pPr>
        <w:jc w:val="center"/>
        <w:rPr>
          <w:rFonts w:ascii="Brandon Grotesque Black" w:hAnsi="Brandon Grotesque Black"/>
          <w:sz w:val="22"/>
          <w:szCs w:val="22"/>
        </w:rPr>
      </w:pPr>
    </w:p>
    <w:p w:rsidR="00FB4DA9" w:rsidRPr="00FB4DA9" w:rsidRDefault="00FB4DA9" w:rsidP="00FB4DA9">
      <w:pPr>
        <w:jc w:val="center"/>
        <w:rPr>
          <w:rFonts w:ascii="Brandon Grotesque Black" w:hAnsi="Brandon Grotesque Black"/>
          <w:sz w:val="22"/>
          <w:szCs w:val="22"/>
        </w:rPr>
      </w:pPr>
      <w:r w:rsidRPr="00FB4DA9">
        <w:rPr>
          <w:rFonts w:ascii="Brandon Grotesque Black" w:hAnsi="Brandon Grotesque Black"/>
          <w:sz w:val="22"/>
          <w:szCs w:val="22"/>
        </w:rPr>
        <w:t>POUR LA CREATION DE 2 AIRES  DE STATIONNEMENT POUR LES PETITS TRAINS TOURISTIQUES</w:t>
      </w:r>
    </w:p>
    <w:p w:rsidR="00FB4DA9" w:rsidRPr="00FB4DA9" w:rsidRDefault="00FB4DA9" w:rsidP="00FB4DA9">
      <w:pPr>
        <w:jc w:val="center"/>
        <w:rPr>
          <w:rFonts w:ascii="Brandon Grotesque Black" w:hAnsi="Brandon Grotesque Black"/>
          <w:sz w:val="22"/>
          <w:szCs w:val="22"/>
        </w:rPr>
      </w:pPr>
      <w:r w:rsidRPr="00FB4DA9">
        <w:rPr>
          <w:rFonts w:ascii="Brandon Grotesque Black" w:hAnsi="Brandon Grotesque Black"/>
          <w:sz w:val="22"/>
          <w:szCs w:val="22"/>
        </w:rPr>
        <w:t xml:space="preserve">Du </w:t>
      </w:r>
      <w:r w:rsidR="00CE1BA1">
        <w:rPr>
          <w:rFonts w:ascii="Brandon Grotesque Black" w:hAnsi="Brandon Grotesque Black"/>
          <w:sz w:val="22"/>
          <w:szCs w:val="22"/>
        </w:rPr>
        <w:t>25</w:t>
      </w:r>
      <w:r w:rsidRPr="00FB4DA9">
        <w:rPr>
          <w:rFonts w:ascii="Brandon Grotesque Black" w:hAnsi="Brandon Grotesque Black"/>
          <w:sz w:val="22"/>
          <w:szCs w:val="22"/>
        </w:rPr>
        <w:t xml:space="preserve"> mars au 31 décembre 202</w:t>
      </w:r>
      <w:r w:rsidR="0095594F">
        <w:rPr>
          <w:rFonts w:ascii="Brandon Grotesque Black" w:hAnsi="Brandon Grotesque Black"/>
          <w:sz w:val="22"/>
          <w:szCs w:val="22"/>
        </w:rPr>
        <w:t>4</w:t>
      </w:r>
      <w:r w:rsidRPr="00FB4DA9">
        <w:rPr>
          <w:rFonts w:ascii="Brandon Grotesque Black" w:hAnsi="Brandon Grotesque Black"/>
          <w:sz w:val="22"/>
          <w:szCs w:val="22"/>
        </w:rPr>
        <w:t xml:space="preserve"> sur la commune d’Ajaccio</w:t>
      </w:r>
    </w:p>
    <w:p w:rsidR="00FB4DA9" w:rsidRPr="00FB4DA9" w:rsidRDefault="00FB4DA9" w:rsidP="00FB4DA9">
      <w:pPr>
        <w:jc w:val="center"/>
        <w:rPr>
          <w:rFonts w:ascii="Brandon Grotesque Black" w:hAnsi="Brandon Grotesque Black"/>
          <w:sz w:val="22"/>
          <w:szCs w:val="22"/>
        </w:rPr>
      </w:pPr>
    </w:p>
    <w:p w:rsidR="00FB4DA9" w:rsidRPr="00FB4DA9" w:rsidRDefault="00FB4DA9" w:rsidP="00FB4DA9">
      <w:pPr>
        <w:jc w:val="center"/>
        <w:rPr>
          <w:rFonts w:ascii="Brandon Grotesque Black" w:hAnsi="Brandon Grotesque Black"/>
          <w:i/>
          <w:sz w:val="22"/>
          <w:szCs w:val="22"/>
        </w:rPr>
      </w:pPr>
      <w:r w:rsidRPr="00FB4DA9">
        <w:rPr>
          <w:rFonts w:ascii="Brandon Grotesque Black" w:hAnsi="Brandon Grotesque Black"/>
          <w:i/>
          <w:sz w:val="22"/>
          <w:szCs w:val="22"/>
        </w:rPr>
        <w:t xml:space="preserve">Procédure prévue à </w:t>
      </w:r>
    </w:p>
    <w:p w:rsidR="00FB4DA9" w:rsidRPr="00FB4DA9" w:rsidRDefault="00FB4DA9" w:rsidP="00FB4DA9">
      <w:pPr>
        <w:jc w:val="center"/>
        <w:rPr>
          <w:rFonts w:ascii="Brandon Grotesque Black" w:hAnsi="Brandon Grotesque Black"/>
          <w:i/>
          <w:sz w:val="22"/>
          <w:szCs w:val="22"/>
        </w:rPr>
      </w:pPr>
      <w:proofErr w:type="gramStart"/>
      <w:r w:rsidRPr="00FB4DA9">
        <w:rPr>
          <w:rFonts w:ascii="Brandon Grotesque Black" w:hAnsi="Brandon Grotesque Black"/>
          <w:i/>
          <w:sz w:val="22"/>
          <w:szCs w:val="22"/>
        </w:rPr>
        <w:t>l’article</w:t>
      </w:r>
      <w:proofErr w:type="gramEnd"/>
      <w:r w:rsidRPr="00FB4DA9">
        <w:rPr>
          <w:rFonts w:ascii="Brandon Grotesque Black" w:hAnsi="Brandon Grotesque Black"/>
          <w:i/>
          <w:sz w:val="22"/>
          <w:szCs w:val="22"/>
        </w:rPr>
        <w:t xml:space="preserve"> L2122-1-1 du code général de la propriété des personnes publiques.</w:t>
      </w:r>
    </w:p>
    <w:p w:rsidR="00FB4DA9" w:rsidRDefault="00FB4DA9" w:rsidP="00FB4DA9">
      <w:pPr>
        <w:autoSpaceDE w:val="0"/>
        <w:autoSpaceDN w:val="0"/>
        <w:adjustRightInd w:val="0"/>
        <w:rPr>
          <w:b/>
          <w:bCs/>
          <w:sz w:val="22"/>
          <w:szCs w:val="22"/>
          <w:u w:val="single"/>
          <w:lang w:bidi="mr-IN"/>
        </w:rPr>
      </w:pPr>
    </w:p>
    <w:p w:rsidR="00FB4DA9" w:rsidRDefault="00FB4DA9" w:rsidP="00FB4DA9">
      <w:pPr>
        <w:autoSpaceDE w:val="0"/>
        <w:autoSpaceDN w:val="0"/>
        <w:adjustRightInd w:val="0"/>
        <w:rPr>
          <w:sz w:val="22"/>
          <w:szCs w:val="22"/>
          <w:lang w:bidi="mr-IN"/>
        </w:rPr>
      </w:pPr>
    </w:p>
    <w:p w:rsidR="00FB4DA9" w:rsidRPr="00FB4DA9" w:rsidRDefault="00FB4DA9" w:rsidP="00FB4DA9">
      <w:pPr>
        <w:pStyle w:val="Default"/>
        <w:jc w:val="both"/>
        <w:rPr>
          <w:rFonts w:ascii="LATO" w:hAnsi="LATO"/>
          <w:sz w:val="23"/>
          <w:szCs w:val="23"/>
        </w:rPr>
      </w:pPr>
      <w:r w:rsidRPr="00FB4DA9">
        <w:rPr>
          <w:rFonts w:ascii="Brandon Grotesque Black" w:hAnsi="Brandon Grotesque Black"/>
          <w:b/>
          <w:bCs/>
          <w:sz w:val="23"/>
          <w:szCs w:val="23"/>
        </w:rPr>
        <w:t xml:space="preserve">ARTICLE 1 – Dénomination et adresse de la collectivité </w:t>
      </w:r>
      <w:r w:rsidRPr="00FB4DA9">
        <w:rPr>
          <w:rFonts w:ascii="Brandon Grotesque Black" w:hAnsi="Brandon Grotesque Black"/>
          <w:sz w:val="23"/>
          <w:szCs w:val="23"/>
        </w:rPr>
        <w:t>:</w:t>
      </w:r>
      <w:r>
        <w:rPr>
          <w:sz w:val="23"/>
          <w:szCs w:val="23"/>
        </w:rPr>
        <w:t xml:space="preserve"> </w:t>
      </w:r>
      <w:r w:rsidRPr="00FB4DA9">
        <w:rPr>
          <w:rFonts w:ascii="LATO" w:hAnsi="LATO"/>
          <w:sz w:val="23"/>
          <w:szCs w:val="23"/>
        </w:rPr>
        <w:t xml:space="preserve">VILLE D’AJACCIO – Avenue Antoine </w:t>
      </w:r>
      <w:proofErr w:type="spellStart"/>
      <w:r w:rsidRPr="00FB4DA9">
        <w:rPr>
          <w:rFonts w:ascii="LATO" w:hAnsi="LATO"/>
          <w:sz w:val="23"/>
          <w:szCs w:val="23"/>
        </w:rPr>
        <w:t>Serafini</w:t>
      </w:r>
      <w:proofErr w:type="spellEnd"/>
      <w:r w:rsidRPr="00FB4DA9">
        <w:rPr>
          <w:rFonts w:ascii="LATO" w:hAnsi="LATO"/>
          <w:sz w:val="23"/>
          <w:szCs w:val="23"/>
        </w:rPr>
        <w:t xml:space="preserve"> – BP412 – </w:t>
      </w:r>
      <w:smartTag w:uri="urn:schemas-microsoft-com:office:smarttags" w:element="phone">
        <w:smartTagPr>
          <w:attr w:uri="urn:schemas-microsoft-com:office:office" w:name="ls" w:val="trans"/>
        </w:smartTagPr>
        <w:r w:rsidRPr="00FB4DA9">
          <w:rPr>
            <w:rFonts w:ascii="LATO" w:hAnsi="LATO"/>
            <w:sz w:val="23"/>
            <w:szCs w:val="23"/>
          </w:rPr>
          <w:t>20304</w:t>
        </w:r>
      </w:smartTag>
      <w:r w:rsidRPr="00FB4DA9">
        <w:rPr>
          <w:rFonts w:ascii="LATO" w:hAnsi="LATO"/>
          <w:sz w:val="23"/>
          <w:szCs w:val="23"/>
        </w:rPr>
        <w:t xml:space="preserve"> AJACCIO CEDEX.</w:t>
      </w:r>
    </w:p>
    <w:p w:rsidR="00FB4DA9" w:rsidRDefault="00FB4DA9" w:rsidP="00FB4DA9">
      <w:pPr>
        <w:pStyle w:val="Default"/>
        <w:jc w:val="both"/>
        <w:rPr>
          <w:sz w:val="23"/>
          <w:szCs w:val="23"/>
        </w:rPr>
      </w:pPr>
    </w:p>
    <w:p w:rsidR="00FB4DA9" w:rsidRPr="00FB4DA9" w:rsidRDefault="00FB4DA9" w:rsidP="00FB4DA9">
      <w:pPr>
        <w:pStyle w:val="Default"/>
        <w:jc w:val="both"/>
        <w:rPr>
          <w:rFonts w:ascii="LATO" w:hAnsi="LATO"/>
          <w:sz w:val="23"/>
          <w:szCs w:val="23"/>
        </w:rPr>
      </w:pPr>
      <w:r w:rsidRPr="00FB4DA9">
        <w:rPr>
          <w:rFonts w:ascii="Brandon Grotesque Black" w:hAnsi="Brandon Grotesque Black"/>
          <w:b/>
          <w:bCs/>
          <w:sz w:val="23"/>
          <w:szCs w:val="23"/>
        </w:rPr>
        <w:t xml:space="preserve">ARTICLE 2 – Mode de passation </w:t>
      </w:r>
      <w:r w:rsidRPr="00FB4DA9">
        <w:rPr>
          <w:rFonts w:ascii="LATO" w:hAnsi="LATO"/>
          <w:sz w:val="23"/>
          <w:szCs w:val="23"/>
        </w:rPr>
        <w:t>: arrêté d’occupation du domaine public communal avec mise en concurrence préalable dans le cadre de la procédure prévue à l’article L2122-1-1 du code général de la propriété des personnes publiques.</w:t>
      </w:r>
    </w:p>
    <w:p w:rsidR="00FB4DA9" w:rsidRDefault="00FB4DA9" w:rsidP="00FB4DA9">
      <w:pPr>
        <w:pStyle w:val="Default"/>
        <w:jc w:val="both"/>
        <w:rPr>
          <w:sz w:val="23"/>
          <w:szCs w:val="23"/>
        </w:rPr>
      </w:pPr>
    </w:p>
    <w:p w:rsidR="00FB4DA9" w:rsidRPr="00FB4DA9" w:rsidRDefault="00FB4DA9" w:rsidP="00FB4DA9">
      <w:pPr>
        <w:pStyle w:val="Default"/>
        <w:jc w:val="both"/>
        <w:rPr>
          <w:rFonts w:ascii="LATO" w:hAnsi="LATO"/>
          <w:sz w:val="23"/>
          <w:szCs w:val="23"/>
        </w:rPr>
      </w:pPr>
      <w:r w:rsidRPr="00FB4DA9">
        <w:rPr>
          <w:rFonts w:ascii="Brandon Grotesque Black" w:hAnsi="Brandon Grotesque Black"/>
          <w:b/>
          <w:bCs/>
          <w:sz w:val="23"/>
          <w:szCs w:val="23"/>
        </w:rPr>
        <w:t xml:space="preserve">ARTICLE 3 – Objet de la mise en concurrence </w:t>
      </w:r>
      <w:r w:rsidRPr="00FB4DA9">
        <w:rPr>
          <w:rFonts w:ascii="Brandon Grotesque Black" w:hAnsi="Brandon Grotesque Black"/>
          <w:sz w:val="23"/>
          <w:szCs w:val="23"/>
        </w:rPr>
        <w:t>:</w:t>
      </w:r>
      <w:r>
        <w:rPr>
          <w:sz w:val="23"/>
          <w:szCs w:val="23"/>
        </w:rPr>
        <w:t xml:space="preserve"> </w:t>
      </w:r>
      <w:r w:rsidRPr="00FB4DA9">
        <w:rPr>
          <w:rFonts w:ascii="LATO" w:hAnsi="LATO"/>
          <w:sz w:val="23"/>
          <w:szCs w:val="23"/>
        </w:rPr>
        <w:t>la présente mise en concurrence concerne l’autorisation d’occuper le domaine public communal, avec droits exclusifs, en vue d’une demande de permis de stationnement. L’usage du permis contre rémunération perçue par le bénéficiaire de l’autorisation, vise un usage principalement de stationnement.</w:t>
      </w:r>
    </w:p>
    <w:p w:rsidR="00FB4DA9" w:rsidRPr="00FB4DA9" w:rsidRDefault="00FB4DA9" w:rsidP="00FB4DA9">
      <w:pPr>
        <w:pStyle w:val="Default"/>
        <w:jc w:val="both"/>
        <w:rPr>
          <w:rFonts w:ascii="LATO" w:hAnsi="LATO"/>
          <w:sz w:val="23"/>
          <w:szCs w:val="23"/>
        </w:rPr>
      </w:pPr>
    </w:p>
    <w:p w:rsidR="00FB4DA9" w:rsidRPr="00FB4DA9" w:rsidRDefault="00FB4DA9" w:rsidP="00FB4DA9">
      <w:pPr>
        <w:pStyle w:val="Default"/>
        <w:jc w:val="both"/>
        <w:rPr>
          <w:rFonts w:ascii="LATO" w:hAnsi="LATO"/>
          <w:sz w:val="23"/>
          <w:szCs w:val="23"/>
        </w:rPr>
      </w:pPr>
      <w:r w:rsidRPr="00FB4DA9">
        <w:rPr>
          <w:rFonts w:ascii="LATO" w:hAnsi="LATO"/>
          <w:sz w:val="23"/>
          <w:szCs w:val="23"/>
        </w:rPr>
        <w:t xml:space="preserve">La localisation des permis de stationnement : (Dans le respect du traçage au sol effectué par les services) </w:t>
      </w:r>
    </w:p>
    <w:p w:rsidR="00FB4DA9" w:rsidRPr="00FB4DA9" w:rsidRDefault="00FB4DA9" w:rsidP="00FB4DA9">
      <w:pPr>
        <w:pStyle w:val="Default"/>
        <w:numPr>
          <w:ilvl w:val="0"/>
          <w:numId w:val="2"/>
        </w:numPr>
        <w:jc w:val="both"/>
        <w:rPr>
          <w:rFonts w:ascii="LATO" w:hAnsi="LATO"/>
          <w:sz w:val="23"/>
          <w:szCs w:val="23"/>
        </w:rPr>
      </w:pPr>
      <w:r w:rsidRPr="00FB4DA9">
        <w:rPr>
          <w:rFonts w:ascii="LATO" w:hAnsi="LATO"/>
          <w:sz w:val="23"/>
          <w:szCs w:val="23"/>
        </w:rPr>
        <w:t xml:space="preserve">Avenue Antoine </w:t>
      </w:r>
      <w:proofErr w:type="spellStart"/>
      <w:r w:rsidRPr="00FB4DA9">
        <w:rPr>
          <w:rFonts w:ascii="LATO" w:hAnsi="LATO"/>
          <w:sz w:val="23"/>
          <w:szCs w:val="23"/>
        </w:rPr>
        <w:t>Serafini</w:t>
      </w:r>
      <w:proofErr w:type="spellEnd"/>
      <w:r w:rsidRPr="00FB4DA9">
        <w:rPr>
          <w:rFonts w:ascii="LATO" w:hAnsi="LATO"/>
          <w:sz w:val="23"/>
          <w:szCs w:val="23"/>
        </w:rPr>
        <w:t xml:space="preserve"> (à hauteur de l’établissement « Bar La Rade » côté gauche sens circulation, sur 112,50 m²</w:t>
      </w:r>
    </w:p>
    <w:p w:rsidR="00FB4DA9" w:rsidRPr="00FB4DA9" w:rsidRDefault="00FB4DA9" w:rsidP="00FB4DA9">
      <w:pPr>
        <w:pStyle w:val="Default"/>
        <w:numPr>
          <w:ilvl w:val="0"/>
          <w:numId w:val="2"/>
        </w:numPr>
        <w:jc w:val="both"/>
        <w:rPr>
          <w:rFonts w:ascii="LATO" w:hAnsi="LATO"/>
          <w:sz w:val="23"/>
          <w:szCs w:val="23"/>
        </w:rPr>
      </w:pPr>
      <w:r w:rsidRPr="00FB4DA9">
        <w:rPr>
          <w:rFonts w:ascii="LATO" w:hAnsi="LATO"/>
          <w:sz w:val="23"/>
          <w:szCs w:val="23"/>
        </w:rPr>
        <w:t>Allée de la légion d’honneur  (à hauteur du n°1, face à l’établissement « Le Pavillon bleu » sur 62,50 m², Cours Général Leclerc</w:t>
      </w:r>
    </w:p>
    <w:p w:rsidR="00FB4DA9" w:rsidRDefault="00FB4DA9" w:rsidP="00FB4DA9">
      <w:pPr>
        <w:pStyle w:val="Default"/>
        <w:jc w:val="both"/>
        <w:rPr>
          <w:sz w:val="23"/>
          <w:szCs w:val="23"/>
        </w:rPr>
      </w:pPr>
    </w:p>
    <w:p w:rsidR="00FB4DA9" w:rsidRPr="00FB4DA9" w:rsidRDefault="00FB4DA9" w:rsidP="00FB4DA9">
      <w:pPr>
        <w:pStyle w:val="Default"/>
        <w:jc w:val="both"/>
        <w:rPr>
          <w:rFonts w:ascii="Brandon Grotesque Black" w:hAnsi="Brandon Grotesque Black"/>
          <w:sz w:val="23"/>
          <w:szCs w:val="23"/>
        </w:rPr>
      </w:pPr>
      <w:r w:rsidRPr="00FB4DA9">
        <w:rPr>
          <w:rFonts w:ascii="Brandon Grotesque Black" w:hAnsi="Brandon Grotesque Black"/>
          <w:b/>
          <w:bCs/>
          <w:sz w:val="23"/>
          <w:szCs w:val="23"/>
        </w:rPr>
        <w:t xml:space="preserve">ARTICLE 4 – Caractéristiques essentielles de la convention </w:t>
      </w:r>
    </w:p>
    <w:p w:rsidR="00FB4DA9" w:rsidRDefault="00FB4DA9" w:rsidP="00FB4DA9">
      <w:pPr>
        <w:pStyle w:val="Default"/>
        <w:jc w:val="both"/>
        <w:rPr>
          <w:b/>
          <w:bCs/>
          <w:sz w:val="23"/>
          <w:szCs w:val="23"/>
        </w:rPr>
      </w:pPr>
    </w:p>
    <w:p w:rsidR="00FB4DA9" w:rsidRPr="00FB4DA9" w:rsidRDefault="00FB4DA9" w:rsidP="00FB4DA9">
      <w:pPr>
        <w:pStyle w:val="Default"/>
        <w:jc w:val="both"/>
        <w:rPr>
          <w:rFonts w:ascii="LATO" w:hAnsi="LATO"/>
          <w:sz w:val="23"/>
          <w:szCs w:val="23"/>
        </w:rPr>
      </w:pPr>
      <w:r>
        <w:rPr>
          <w:b/>
          <w:bCs/>
          <w:sz w:val="23"/>
          <w:szCs w:val="23"/>
        </w:rPr>
        <w:t xml:space="preserve">Redevance annuelle d’occupation du domaine public </w:t>
      </w:r>
      <w:r>
        <w:rPr>
          <w:sz w:val="23"/>
          <w:szCs w:val="23"/>
        </w:rPr>
        <w:t xml:space="preserve">: </w:t>
      </w:r>
      <w:r w:rsidRPr="00FB4DA9">
        <w:rPr>
          <w:rFonts w:ascii="LATO" w:hAnsi="LATO"/>
          <w:sz w:val="23"/>
          <w:szCs w:val="23"/>
        </w:rPr>
        <w:t>Les candidats devront s’engager à régler la redevance pour occupation du domaine public prévue par la décision municipale n° 2022-</w:t>
      </w:r>
      <w:r w:rsidR="00DE5CD9">
        <w:rPr>
          <w:rFonts w:ascii="LATO" w:hAnsi="LATO"/>
          <w:sz w:val="23"/>
          <w:szCs w:val="23"/>
        </w:rPr>
        <w:t>0140</w:t>
      </w:r>
      <w:r w:rsidRPr="00FB4DA9">
        <w:rPr>
          <w:rFonts w:ascii="LATO" w:hAnsi="LATO"/>
          <w:sz w:val="23"/>
          <w:szCs w:val="23"/>
        </w:rPr>
        <w:t xml:space="preserve"> fixée à </w:t>
      </w:r>
      <w:r w:rsidR="00DE5CD9">
        <w:rPr>
          <w:rFonts w:ascii="LATO" w:hAnsi="LATO"/>
          <w:sz w:val="23"/>
          <w:szCs w:val="23"/>
        </w:rPr>
        <w:t>9.10</w:t>
      </w:r>
      <w:r w:rsidRPr="00FB4DA9">
        <w:rPr>
          <w:rFonts w:ascii="LATO" w:hAnsi="LATO"/>
          <w:sz w:val="23"/>
          <w:szCs w:val="23"/>
        </w:rPr>
        <w:t xml:space="preserve"> € par m ²/mois (part fixe) + % de la part variable supérieure ou égale à 3%</w:t>
      </w:r>
    </w:p>
    <w:p w:rsidR="00FB4DA9" w:rsidRPr="00FB4DA9" w:rsidRDefault="00FB4DA9" w:rsidP="00FB4DA9">
      <w:pPr>
        <w:pStyle w:val="Default"/>
        <w:jc w:val="both"/>
        <w:rPr>
          <w:rFonts w:ascii="LATO" w:hAnsi="LATO"/>
          <w:b/>
          <w:sz w:val="23"/>
          <w:szCs w:val="23"/>
        </w:rPr>
      </w:pPr>
      <w:r w:rsidRPr="00FB4DA9">
        <w:rPr>
          <w:rFonts w:ascii="LATO" w:hAnsi="LATO"/>
          <w:sz w:val="23"/>
          <w:szCs w:val="23"/>
        </w:rPr>
        <w:t xml:space="preserve"> </w:t>
      </w:r>
      <w:r w:rsidRPr="00FB4DA9">
        <w:rPr>
          <w:rFonts w:ascii="LATO" w:hAnsi="LATO"/>
          <w:b/>
          <w:bCs/>
          <w:sz w:val="23"/>
          <w:szCs w:val="23"/>
        </w:rPr>
        <w:t xml:space="preserve">Durée de la convention </w:t>
      </w:r>
      <w:r w:rsidRPr="00FB4DA9">
        <w:rPr>
          <w:rFonts w:ascii="LATO" w:hAnsi="LATO"/>
          <w:sz w:val="23"/>
          <w:szCs w:val="23"/>
        </w:rPr>
        <w:t>: la convention entrera en vigueur à compter de sa notification. Elle est conclue jusqu’au 31 décembre 202</w:t>
      </w:r>
      <w:r w:rsidR="0095594F">
        <w:rPr>
          <w:rFonts w:ascii="LATO" w:hAnsi="LATO"/>
          <w:sz w:val="23"/>
          <w:szCs w:val="23"/>
        </w:rPr>
        <w:t>4</w:t>
      </w:r>
      <w:r w:rsidRPr="00FB4DA9">
        <w:rPr>
          <w:rFonts w:ascii="LATO" w:hAnsi="LATO"/>
          <w:sz w:val="23"/>
          <w:szCs w:val="23"/>
        </w:rPr>
        <w:t xml:space="preserve">, </w:t>
      </w:r>
      <w:r w:rsidRPr="00FB4DA9">
        <w:rPr>
          <w:rFonts w:ascii="LATO" w:hAnsi="LATO"/>
          <w:b/>
          <w:sz w:val="23"/>
          <w:szCs w:val="23"/>
          <w:u w:val="single"/>
        </w:rPr>
        <w:t>non prorogeable par tacite reconduction.</w:t>
      </w:r>
    </w:p>
    <w:p w:rsidR="00FB4DA9" w:rsidRPr="00FB4DA9" w:rsidRDefault="00FB4DA9" w:rsidP="00FB4DA9">
      <w:pPr>
        <w:pStyle w:val="Default"/>
        <w:jc w:val="both"/>
        <w:rPr>
          <w:rFonts w:ascii="LATO" w:hAnsi="LATO"/>
          <w:sz w:val="23"/>
          <w:szCs w:val="23"/>
        </w:rPr>
      </w:pPr>
    </w:p>
    <w:p w:rsidR="00FB4DA9" w:rsidRPr="00FB4DA9" w:rsidRDefault="00FB4DA9" w:rsidP="00FB4DA9">
      <w:pPr>
        <w:pStyle w:val="Default"/>
        <w:jc w:val="both"/>
        <w:rPr>
          <w:rFonts w:ascii="LATO" w:hAnsi="LATO"/>
          <w:sz w:val="23"/>
          <w:szCs w:val="23"/>
        </w:rPr>
      </w:pPr>
      <w:r w:rsidRPr="00FB4DA9">
        <w:rPr>
          <w:rFonts w:ascii="LATO" w:hAnsi="LATO"/>
          <w:b/>
          <w:bCs/>
          <w:sz w:val="23"/>
          <w:szCs w:val="23"/>
        </w:rPr>
        <w:t xml:space="preserve">Lieu d’exécution </w:t>
      </w:r>
      <w:r w:rsidRPr="00FB4DA9">
        <w:rPr>
          <w:rFonts w:ascii="LATO" w:hAnsi="LATO"/>
          <w:sz w:val="23"/>
          <w:szCs w:val="23"/>
        </w:rPr>
        <w:t xml:space="preserve">: commune d’Ajaccio. </w:t>
      </w:r>
    </w:p>
    <w:p w:rsidR="00FB4DA9" w:rsidRPr="00FB4DA9" w:rsidRDefault="00FB4DA9" w:rsidP="00FB4DA9">
      <w:pPr>
        <w:pStyle w:val="Default"/>
        <w:jc w:val="both"/>
        <w:rPr>
          <w:rFonts w:ascii="LATO" w:hAnsi="LATO"/>
          <w:sz w:val="23"/>
          <w:szCs w:val="23"/>
        </w:rPr>
      </w:pPr>
      <w:bookmarkStart w:id="0" w:name="_GoBack"/>
      <w:bookmarkEnd w:id="0"/>
    </w:p>
    <w:p w:rsidR="00FB4DA9" w:rsidRDefault="00FB4DA9" w:rsidP="00FB4DA9">
      <w:pPr>
        <w:pStyle w:val="Default"/>
        <w:jc w:val="both"/>
        <w:rPr>
          <w:sz w:val="23"/>
          <w:szCs w:val="23"/>
        </w:rPr>
      </w:pPr>
    </w:p>
    <w:p w:rsidR="00FB4DA9" w:rsidRPr="00FB4DA9" w:rsidRDefault="00FB4DA9" w:rsidP="00FB4DA9">
      <w:pPr>
        <w:pStyle w:val="Default"/>
        <w:jc w:val="both"/>
        <w:rPr>
          <w:rFonts w:ascii="Brandon Grotesque Black" w:hAnsi="Brandon Grotesque Black"/>
          <w:sz w:val="23"/>
          <w:szCs w:val="23"/>
        </w:rPr>
      </w:pPr>
      <w:r w:rsidRPr="00FB4DA9">
        <w:rPr>
          <w:rFonts w:ascii="Brandon Grotesque Black" w:hAnsi="Brandon Grotesque Black"/>
          <w:b/>
          <w:bCs/>
          <w:sz w:val="23"/>
          <w:szCs w:val="23"/>
        </w:rPr>
        <w:t xml:space="preserve">ARTICLE 5 – Procédure </w:t>
      </w:r>
    </w:p>
    <w:p w:rsidR="00FB4DA9" w:rsidRPr="00FB4DA9" w:rsidRDefault="00FB4DA9" w:rsidP="00FB4DA9">
      <w:pPr>
        <w:pStyle w:val="Default"/>
        <w:jc w:val="both"/>
        <w:rPr>
          <w:rFonts w:ascii="LATO" w:hAnsi="LATO"/>
          <w:sz w:val="23"/>
          <w:szCs w:val="23"/>
        </w:rPr>
      </w:pPr>
      <w:r w:rsidRPr="00FB4DA9">
        <w:rPr>
          <w:rFonts w:ascii="LATO" w:hAnsi="LATO"/>
          <w:sz w:val="23"/>
          <w:szCs w:val="23"/>
        </w:rPr>
        <w:t>L’article L2122-1-1 du code général de la propriété des personnes publiques disque que lorsque le titre d’occupation temporaire du domaine public mentionné à l'article </w:t>
      </w:r>
      <w:hyperlink r:id="rId7" w:history="1">
        <w:r w:rsidRPr="00FB4DA9">
          <w:rPr>
            <w:rFonts w:ascii="LATO" w:hAnsi="LATO"/>
            <w:sz w:val="23"/>
            <w:szCs w:val="23"/>
          </w:rPr>
          <w:t>L. 2122-1</w:t>
        </w:r>
      </w:hyperlink>
      <w:r w:rsidRPr="00FB4DA9">
        <w:rPr>
          <w:rFonts w:ascii="LATO" w:hAnsi="LATO"/>
          <w:sz w:val="23"/>
          <w:szCs w:val="23"/>
        </w:rPr>
        <w:t xml:space="preserve"> du même code permet à son titulaire d'occuper ou d'utiliser le domaine public en vue d'une exploitation économique, l'autorité compétente organise librement une procédure de sélection préalable présentant toutes les garanties d'impartialité et de transparence, et comportant des mesures de publicité permettant aux candidats potentiels de se manifester.</w:t>
      </w:r>
    </w:p>
    <w:p w:rsidR="00FB4DA9" w:rsidRPr="00FB4DA9" w:rsidRDefault="00FB4DA9" w:rsidP="00FB4DA9">
      <w:pPr>
        <w:pStyle w:val="Default"/>
        <w:jc w:val="both"/>
        <w:rPr>
          <w:rFonts w:ascii="LATO" w:hAnsi="LATO"/>
          <w:sz w:val="23"/>
          <w:szCs w:val="23"/>
        </w:rPr>
      </w:pPr>
    </w:p>
    <w:p w:rsidR="00FB4DA9" w:rsidRPr="00FB4DA9" w:rsidRDefault="00FB4DA9" w:rsidP="00FB4DA9">
      <w:pPr>
        <w:pStyle w:val="Default"/>
        <w:jc w:val="both"/>
        <w:rPr>
          <w:rFonts w:ascii="LATO" w:hAnsi="LATO"/>
          <w:sz w:val="23"/>
          <w:szCs w:val="23"/>
        </w:rPr>
      </w:pPr>
      <w:r w:rsidRPr="00FB4DA9">
        <w:rPr>
          <w:rFonts w:ascii="LATO" w:hAnsi="LATO"/>
          <w:sz w:val="23"/>
          <w:szCs w:val="23"/>
        </w:rPr>
        <w:t>La présente procédure s’inscrit dans ce cadre.</w:t>
      </w:r>
    </w:p>
    <w:p w:rsidR="00FB4DA9" w:rsidRPr="00FB4DA9" w:rsidRDefault="00FB4DA9" w:rsidP="00FB4DA9">
      <w:pPr>
        <w:pStyle w:val="Default"/>
        <w:jc w:val="both"/>
        <w:rPr>
          <w:rFonts w:ascii="LATO" w:hAnsi="LATO"/>
          <w:sz w:val="23"/>
          <w:szCs w:val="23"/>
        </w:rPr>
      </w:pPr>
      <w:r w:rsidRPr="00FB4DA9">
        <w:rPr>
          <w:rFonts w:ascii="LATO" w:hAnsi="LATO"/>
          <w:sz w:val="23"/>
          <w:szCs w:val="23"/>
        </w:rPr>
        <w:t xml:space="preserve">Pièces du dossier de consultation: </w:t>
      </w:r>
    </w:p>
    <w:p w:rsidR="00FB4DA9" w:rsidRPr="00FB4DA9" w:rsidRDefault="00FB4DA9" w:rsidP="00FB4DA9">
      <w:pPr>
        <w:pStyle w:val="Default"/>
        <w:spacing w:after="27"/>
        <w:jc w:val="both"/>
        <w:rPr>
          <w:rFonts w:ascii="LATO" w:hAnsi="LATO"/>
          <w:sz w:val="23"/>
          <w:szCs w:val="23"/>
        </w:rPr>
      </w:pPr>
      <w:r w:rsidRPr="00FB4DA9">
        <w:rPr>
          <w:rFonts w:ascii="LATO" w:hAnsi="LATO"/>
          <w:sz w:val="23"/>
          <w:szCs w:val="23"/>
        </w:rPr>
        <w:t xml:space="preserve">- un avis d’appel public à la concurrence, </w:t>
      </w:r>
    </w:p>
    <w:p w:rsidR="00FB4DA9" w:rsidRPr="00FB4DA9" w:rsidRDefault="00FB4DA9" w:rsidP="00FB4DA9">
      <w:pPr>
        <w:pStyle w:val="Default"/>
        <w:spacing w:after="27"/>
        <w:jc w:val="both"/>
        <w:rPr>
          <w:rFonts w:ascii="LATO" w:hAnsi="LATO"/>
          <w:sz w:val="23"/>
          <w:szCs w:val="23"/>
        </w:rPr>
      </w:pPr>
      <w:r w:rsidRPr="00FB4DA9">
        <w:rPr>
          <w:rFonts w:ascii="LATO" w:hAnsi="LATO"/>
          <w:sz w:val="23"/>
          <w:szCs w:val="23"/>
        </w:rPr>
        <w:t xml:space="preserve">- un règlement de consultation </w:t>
      </w:r>
    </w:p>
    <w:p w:rsidR="00FB4DA9" w:rsidRPr="00FB4DA9" w:rsidRDefault="00FB4DA9" w:rsidP="00FB4DA9">
      <w:pPr>
        <w:pStyle w:val="Default"/>
        <w:spacing w:after="27"/>
        <w:jc w:val="both"/>
        <w:rPr>
          <w:rFonts w:ascii="LATO" w:hAnsi="LATO"/>
          <w:sz w:val="23"/>
          <w:szCs w:val="23"/>
        </w:rPr>
      </w:pPr>
      <w:r w:rsidRPr="00FB4DA9">
        <w:rPr>
          <w:rFonts w:ascii="LATO" w:hAnsi="LATO"/>
          <w:sz w:val="23"/>
          <w:szCs w:val="23"/>
        </w:rPr>
        <w:t xml:space="preserve">- un formulaire d’offre, </w:t>
      </w:r>
    </w:p>
    <w:p w:rsidR="00FB4DA9" w:rsidRPr="00FB4DA9" w:rsidRDefault="00FB4DA9" w:rsidP="00FB4DA9">
      <w:pPr>
        <w:pStyle w:val="Default"/>
        <w:jc w:val="both"/>
        <w:rPr>
          <w:rFonts w:ascii="LATO" w:hAnsi="LATO"/>
          <w:sz w:val="23"/>
          <w:szCs w:val="23"/>
        </w:rPr>
      </w:pPr>
      <w:r w:rsidRPr="00FB4DA9">
        <w:rPr>
          <w:rFonts w:ascii="LATO" w:hAnsi="LATO"/>
          <w:sz w:val="23"/>
          <w:szCs w:val="23"/>
        </w:rPr>
        <w:t xml:space="preserve">- une annexe technique </w:t>
      </w:r>
    </w:p>
    <w:p w:rsidR="00FB4DA9" w:rsidRPr="000B1285" w:rsidRDefault="00FB4DA9" w:rsidP="00FB4DA9"/>
    <w:p w:rsidR="00FB4DA9" w:rsidRPr="00FB4DA9" w:rsidRDefault="00FB4DA9" w:rsidP="00FB4DA9">
      <w:pPr>
        <w:pStyle w:val="Default"/>
        <w:pageBreakBefore/>
        <w:jc w:val="both"/>
        <w:rPr>
          <w:rFonts w:ascii="LATO" w:hAnsi="LATO"/>
          <w:color w:val="auto"/>
          <w:sz w:val="23"/>
          <w:szCs w:val="23"/>
        </w:rPr>
      </w:pPr>
      <w:r w:rsidRPr="00FB4DA9">
        <w:rPr>
          <w:rFonts w:ascii="LATO" w:hAnsi="LATO"/>
          <w:color w:val="auto"/>
          <w:sz w:val="23"/>
          <w:szCs w:val="23"/>
        </w:rPr>
        <w:lastRenderedPageBreak/>
        <w:t xml:space="preserve">Conditions de retrait du dossier de consultation : </w:t>
      </w:r>
    </w:p>
    <w:p w:rsidR="00FB4DA9" w:rsidRPr="00FB4DA9" w:rsidRDefault="00FB4DA9" w:rsidP="00FB4DA9">
      <w:pPr>
        <w:pStyle w:val="Default"/>
        <w:jc w:val="both"/>
        <w:rPr>
          <w:rFonts w:ascii="LATO" w:hAnsi="LATO"/>
          <w:color w:val="auto"/>
          <w:sz w:val="23"/>
          <w:szCs w:val="23"/>
        </w:rPr>
      </w:pPr>
      <w:r w:rsidRPr="00FB4DA9">
        <w:rPr>
          <w:rFonts w:ascii="LATO" w:hAnsi="LATO"/>
          <w:color w:val="auto"/>
          <w:sz w:val="23"/>
          <w:szCs w:val="23"/>
        </w:rPr>
        <w:t xml:space="preserve">Le dossier de consultation peut être retiré auprès de la : </w:t>
      </w:r>
    </w:p>
    <w:p w:rsidR="00FB4DA9" w:rsidRPr="00FB4DA9" w:rsidRDefault="00FB4DA9" w:rsidP="00FB4DA9">
      <w:pPr>
        <w:pStyle w:val="Default"/>
        <w:ind w:left="900"/>
        <w:jc w:val="both"/>
        <w:rPr>
          <w:rFonts w:ascii="LATO" w:hAnsi="LATO"/>
          <w:color w:val="auto"/>
          <w:sz w:val="23"/>
          <w:szCs w:val="23"/>
        </w:rPr>
      </w:pPr>
      <w:r w:rsidRPr="00FB4DA9">
        <w:rPr>
          <w:rFonts w:ascii="LATO" w:hAnsi="LATO"/>
          <w:color w:val="auto"/>
          <w:sz w:val="23"/>
          <w:szCs w:val="23"/>
        </w:rPr>
        <w:t xml:space="preserve">Mairie d’Ajaccio </w:t>
      </w:r>
    </w:p>
    <w:p w:rsidR="00FB4DA9" w:rsidRPr="00FB4DA9" w:rsidRDefault="00FB4DA9" w:rsidP="00FB4DA9">
      <w:pPr>
        <w:pStyle w:val="Default"/>
        <w:ind w:left="900"/>
        <w:jc w:val="both"/>
        <w:rPr>
          <w:rFonts w:ascii="LATO" w:hAnsi="LATO"/>
          <w:color w:val="auto"/>
          <w:sz w:val="23"/>
          <w:szCs w:val="23"/>
        </w:rPr>
      </w:pPr>
      <w:r w:rsidRPr="00FB4DA9">
        <w:rPr>
          <w:rFonts w:ascii="LATO" w:hAnsi="LATO"/>
          <w:color w:val="auto"/>
          <w:sz w:val="23"/>
          <w:szCs w:val="23"/>
        </w:rPr>
        <w:t>Direction du commerce, de l’artisanat et du domaine public</w:t>
      </w:r>
    </w:p>
    <w:p w:rsidR="00FB4DA9" w:rsidRPr="00FB4DA9" w:rsidRDefault="00FB4DA9" w:rsidP="00FB4DA9">
      <w:pPr>
        <w:pStyle w:val="Default"/>
        <w:ind w:left="900"/>
        <w:jc w:val="both"/>
        <w:rPr>
          <w:rFonts w:ascii="LATO" w:hAnsi="LATO"/>
          <w:color w:val="auto"/>
          <w:sz w:val="23"/>
          <w:szCs w:val="23"/>
        </w:rPr>
      </w:pPr>
      <w:r w:rsidRPr="00FB4DA9">
        <w:rPr>
          <w:rFonts w:ascii="LATO" w:hAnsi="LATO"/>
          <w:color w:val="auto"/>
          <w:sz w:val="23"/>
          <w:szCs w:val="23"/>
        </w:rPr>
        <w:t>Pôle Gestion du domaine public</w:t>
      </w:r>
    </w:p>
    <w:p w:rsidR="00FB4DA9" w:rsidRPr="00FB4DA9" w:rsidRDefault="00FB4DA9" w:rsidP="00FB4DA9">
      <w:pPr>
        <w:pStyle w:val="Default"/>
        <w:ind w:left="900"/>
        <w:jc w:val="both"/>
        <w:rPr>
          <w:rFonts w:ascii="LATO" w:hAnsi="LATO"/>
          <w:color w:val="auto"/>
          <w:sz w:val="23"/>
          <w:szCs w:val="23"/>
        </w:rPr>
      </w:pPr>
      <w:r w:rsidRPr="00FB4DA9">
        <w:rPr>
          <w:rFonts w:ascii="LATO" w:hAnsi="LATO"/>
          <w:color w:val="auto"/>
          <w:sz w:val="23"/>
          <w:szCs w:val="23"/>
        </w:rPr>
        <w:t>4, Boulevard Roi Jérôme – 20000 AJACCIO</w:t>
      </w:r>
    </w:p>
    <w:p w:rsidR="00FB4DA9" w:rsidRPr="00FB4DA9" w:rsidRDefault="00FB4DA9" w:rsidP="00FB4DA9">
      <w:pPr>
        <w:pStyle w:val="Default"/>
        <w:ind w:left="732" w:firstLine="168"/>
        <w:jc w:val="both"/>
        <w:rPr>
          <w:rFonts w:ascii="LATO" w:hAnsi="LATO"/>
          <w:color w:val="auto"/>
          <w:sz w:val="23"/>
          <w:szCs w:val="23"/>
        </w:rPr>
      </w:pPr>
      <w:r w:rsidRPr="00FB4DA9">
        <w:rPr>
          <w:rFonts w:ascii="LATO" w:hAnsi="LATO"/>
          <w:color w:val="auto"/>
          <w:sz w:val="23"/>
          <w:szCs w:val="23"/>
        </w:rPr>
        <w:t>Tél. : 04 95 51 78 65</w:t>
      </w:r>
    </w:p>
    <w:p w:rsidR="00FB4DA9" w:rsidRPr="00FB4DA9" w:rsidRDefault="00FB4DA9" w:rsidP="00FB4DA9">
      <w:pPr>
        <w:pStyle w:val="Default"/>
        <w:ind w:left="732" w:firstLine="168"/>
        <w:jc w:val="both"/>
        <w:rPr>
          <w:rFonts w:ascii="LATO" w:hAnsi="LATO"/>
          <w:color w:val="auto"/>
          <w:sz w:val="23"/>
          <w:szCs w:val="23"/>
        </w:rPr>
      </w:pPr>
      <w:r w:rsidRPr="00FB4DA9">
        <w:rPr>
          <w:rFonts w:ascii="LATO" w:hAnsi="LATO"/>
          <w:color w:val="auto"/>
          <w:sz w:val="23"/>
          <w:szCs w:val="23"/>
        </w:rPr>
        <w:t>commerce@ville-</w:t>
      </w:r>
      <w:r w:rsidR="00302EC7">
        <w:rPr>
          <w:rFonts w:ascii="LATO" w:hAnsi="LATO"/>
          <w:color w:val="auto"/>
          <w:sz w:val="23"/>
          <w:szCs w:val="23"/>
        </w:rPr>
        <w:t>ajaccio</w:t>
      </w:r>
      <w:r w:rsidRPr="00FB4DA9">
        <w:rPr>
          <w:rFonts w:ascii="LATO" w:hAnsi="LATO"/>
          <w:color w:val="auto"/>
          <w:sz w:val="23"/>
          <w:szCs w:val="23"/>
        </w:rPr>
        <w:t xml:space="preserve">.fr </w:t>
      </w:r>
    </w:p>
    <w:p w:rsidR="00FB4DA9" w:rsidRPr="00FB4DA9" w:rsidRDefault="00FB4DA9" w:rsidP="00FB4DA9">
      <w:pPr>
        <w:pStyle w:val="Default"/>
        <w:jc w:val="both"/>
        <w:rPr>
          <w:rFonts w:ascii="LATO" w:hAnsi="LATO"/>
          <w:color w:val="auto"/>
          <w:sz w:val="23"/>
          <w:szCs w:val="23"/>
        </w:rPr>
      </w:pPr>
      <w:proofErr w:type="gramStart"/>
      <w:r w:rsidRPr="00FB4DA9">
        <w:rPr>
          <w:rFonts w:ascii="LATO" w:hAnsi="LATO"/>
          <w:color w:val="auto"/>
          <w:sz w:val="23"/>
          <w:szCs w:val="23"/>
        </w:rPr>
        <w:t>et</w:t>
      </w:r>
      <w:proofErr w:type="gramEnd"/>
      <w:r w:rsidRPr="00FB4DA9">
        <w:rPr>
          <w:rFonts w:ascii="LATO" w:hAnsi="LATO"/>
          <w:color w:val="auto"/>
          <w:sz w:val="23"/>
          <w:szCs w:val="23"/>
        </w:rPr>
        <w:t xml:space="preserve"> également sur le site internet de la ville d’Ajaccio (www.ajaccio.fr / rubrique commerce et artisanat). </w:t>
      </w:r>
    </w:p>
    <w:p w:rsidR="00FB4DA9" w:rsidRPr="00FB4DA9" w:rsidRDefault="00FB4DA9" w:rsidP="00FB4DA9">
      <w:pPr>
        <w:pStyle w:val="Default"/>
        <w:jc w:val="both"/>
        <w:rPr>
          <w:rFonts w:ascii="LATO" w:hAnsi="LATO"/>
          <w:color w:val="auto"/>
          <w:sz w:val="23"/>
          <w:szCs w:val="23"/>
        </w:rPr>
      </w:pPr>
    </w:p>
    <w:p w:rsidR="00FB4DA9" w:rsidRPr="00FB4DA9" w:rsidRDefault="00FB4DA9" w:rsidP="00FB4DA9">
      <w:pPr>
        <w:pStyle w:val="Default"/>
        <w:jc w:val="both"/>
        <w:rPr>
          <w:rFonts w:ascii="LATO" w:hAnsi="LATO"/>
          <w:color w:val="auto"/>
          <w:sz w:val="23"/>
          <w:szCs w:val="23"/>
        </w:rPr>
      </w:pPr>
      <w:r w:rsidRPr="00FB4DA9">
        <w:rPr>
          <w:rFonts w:ascii="LATO" w:hAnsi="LATO"/>
          <w:color w:val="auto"/>
          <w:sz w:val="23"/>
          <w:szCs w:val="23"/>
        </w:rPr>
        <w:t xml:space="preserve">Candidatures : </w:t>
      </w:r>
    </w:p>
    <w:p w:rsidR="00FB4DA9" w:rsidRPr="00FB4DA9" w:rsidRDefault="00FB4DA9" w:rsidP="00FB4DA9">
      <w:pPr>
        <w:pStyle w:val="Default"/>
        <w:jc w:val="both"/>
        <w:rPr>
          <w:rFonts w:ascii="LATO" w:hAnsi="LATO"/>
          <w:color w:val="auto"/>
          <w:sz w:val="23"/>
          <w:szCs w:val="23"/>
        </w:rPr>
      </w:pPr>
      <w:r w:rsidRPr="00FB4DA9">
        <w:rPr>
          <w:rFonts w:ascii="LATO" w:hAnsi="LATO"/>
          <w:color w:val="auto"/>
          <w:sz w:val="23"/>
          <w:szCs w:val="23"/>
        </w:rPr>
        <w:t xml:space="preserve">Les modalités de constitution et de remise des dossiers de candidature sont précisées à l’article 6 du règlement de consultation. </w:t>
      </w:r>
    </w:p>
    <w:p w:rsidR="00FB4DA9" w:rsidRPr="00FB4DA9" w:rsidRDefault="00FB4DA9" w:rsidP="00FB4DA9">
      <w:pPr>
        <w:pStyle w:val="Default"/>
        <w:jc w:val="both"/>
        <w:rPr>
          <w:rFonts w:ascii="LATO" w:hAnsi="LATO"/>
          <w:b/>
          <w:bCs/>
          <w:color w:val="auto"/>
          <w:sz w:val="23"/>
          <w:szCs w:val="23"/>
        </w:rPr>
      </w:pPr>
    </w:p>
    <w:p w:rsidR="00FB4DA9" w:rsidRPr="00FB4DA9" w:rsidRDefault="00FB4DA9" w:rsidP="00FB4DA9">
      <w:pPr>
        <w:pStyle w:val="Default"/>
        <w:jc w:val="both"/>
        <w:rPr>
          <w:rFonts w:ascii="LATO" w:hAnsi="LATO"/>
          <w:color w:val="auto"/>
          <w:sz w:val="23"/>
          <w:szCs w:val="23"/>
        </w:rPr>
      </w:pPr>
      <w:r w:rsidRPr="00FB4DA9">
        <w:rPr>
          <w:rFonts w:ascii="LATO" w:hAnsi="LATO"/>
          <w:b/>
          <w:bCs/>
          <w:color w:val="auto"/>
          <w:sz w:val="23"/>
          <w:szCs w:val="23"/>
        </w:rPr>
        <w:t xml:space="preserve">Unité monétaire </w:t>
      </w:r>
      <w:r w:rsidRPr="00FB4DA9">
        <w:rPr>
          <w:rFonts w:ascii="LATO" w:hAnsi="LATO"/>
          <w:color w:val="auto"/>
          <w:sz w:val="23"/>
          <w:szCs w:val="23"/>
        </w:rPr>
        <w:t xml:space="preserve">: l’unité monétaire est l’EURO. </w:t>
      </w:r>
    </w:p>
    <w:p w:rsidR="00FB4DA9" w:rsidRDefault="00FB4DA9" w:rsidP="00FB4DA9">
      <w:pPr>
        <w:pStyle w:val="Default"/>
        <w:jc w:val="both"/>
        <w:rPr>
          <w:b/>
          <w:bCs/>
          <w:color w:val="auto"/>
          <w:sz w:val="23"/>
          <w:szCs w:val="23"/>
        </w:rPr>
      </w:pPr>
    </w:p>
    <w:p w:rsidR="00FB4DA9" w:rsidRPr="00FB4DA9" w:rsidRDefault="00FB4DA9" w:rsidP="00FB4DA9">
      <w:pPr>
        <w:pStyle w:val="Default"/>
        <w:jc w:val="both"/>
        <w:rPr>
          <w:rFonts w:ascii="Brandon Grotesque Black" w:hAnsi="Brandon Grotesque Black"/>
          <w:b/>
          <w:color w:val="auto"/>
          <w:sz w:val="23"/>
          <w:szCs w:val="23"/>
        </w:rPr>
      </w:pPr>
      <w:r w:rsidRPr="00FB4DA9">
        <w:rPr>
          <w:rFonts w:ascii="Brandon Grotesque Black" w:hAnsi="Brandon Grotesque Black"/>
          <w:b/>
          <w:bCs/>
          <w:color w:val="auto"/>
          <w:sz w:val="23"/>
          <w:szCs w:val="23"/>
        </w:rPr>
        <w:t xml:space="preserve">ARTICLE 6 - Date limite de réception des dossiers de candidature </w:t>
      </w:r>
      <w:r w:rsidRPr="00FB4DA9">
        <w:rPr>
          <w:rFonts w:ascii="Brandon Grotesque Black" w:hAnsi="Brandon Grotesque Black"/>
          <w:color w:val="auto"/>
          <w:sz w:val="23"/>
          <w:szCs w:val="23"/>
        </w:rPr>
        <w:t xml:space="preserve">: </w:t>
      </w:r>
      <w:r w:rsidRPr="00FB4DA9">
        <w:rPr>
          <w:rFonts w:ascii="Brandon Grotesque Black" w:hAnsi="Brandon Grotesque Black"/>
          <w:b/>
          <w:color w:val="auto"/>
          <w:sz w:val="23"/>
          <w:szCs w:val="23"/>
        </w:rPr>
        <w:t>1</w:t>
      </w:r>
      <w:r w:rsidR="003152A6">
        <w:rPr>
          <w:rFonts w:ascii="Brandon Grotesque Black" w:hAnsi="Brandon Grotesque Black"/>
          <w:b/>
          <w:color w:val="auto"/>
          <w:sz w:val="23"/>
          <w:szCs w:val="23"/>
        </w:rPr>
        <w:t>4</w:t>
      </w:r>
      <w:r w:rsidRPr="00FB4DA9">
        <w:rPr>
          <w:rFonts w:ascii="Brandon Grotesque Black" w:hAnsi="Brandon Grotesque Black"/>
          <w:b/>
          <w:color w:val="auto"/>
          <w:sz w:val="23"/>
          <w:szCs w:val="23"/>
        </w:rPr>
        <w:t xml:space="preserve"> mars 202</w:t>
      </w:r>
      <w:r w:rsidR="003152A6">
        <w:rPr>
          <w:rFonts w:ascii="Brandon Grotesque Black" w:hAnsi="Brandon Grotesque Black"/>
          <w:b/>
          <w:color w:val="auto"/>
          <w:sz w:val="23"/>
          <w:szCs w:val="23"/>
        </w:rPr>
        <w:t>3</w:t>
      </w:r>
      <w:r w:rsidRPr="00FB4DA9">
        <w:rPr>
          <w:rFonts w:ascii="Brandon Grotesque Black" w:hAnsi="Brandon Grotesque Black"/>
          <w:b/>
          <w:color w:val="auto"/>
          <w:sz w:val="23"/>
          <w:szCs w:val="23"/>
        </w:rPr>
        <w:t xml:space="preserve"> à 12h</w:t>
      </w:r>
    </w:p>
    <w:p w:rsidR="00FB4DA9" w:rsidRPr="00FB4DA9" w:rsidRDefault="00FB4DA9" w:rsidP="00FB4DA9">
      <w:pPr>
        <w:pStyle w:val="Default"/>
        <w:jc w:val="both"/>
        <w:rPr>
          <w:rFonts w:ascii="Brandon Grotesque Black" w:hAnsi="Brandon Grotesque Black"/>
          <w:b/>
          <w:bCs/>
          <w:color w:val="auto"/>
          <w:sz w:val="23"/>
          <w:szCs w:val="23"/>
        </w:rPr>
      </w:pPr>
    </w:p>
    <w:p w:rsidR="00FB4DA9" w:rsidRPr="00FB4DA9" w:rsidRDefault="00FB4DA9" w:rsidP="00FB4DA9">
      <w:pPr>
        <w:pStyle w:val="Default"/>
        <w:jc w:val="both"/>
        <w:rPr>
          <w:rFonts w:ascii="Brandon Grotesque Black" w:hAnsi="Brandon Grotesque Black"/>
          <w:b/>
          <w:bCs/>
          <w:color w:val="auto"/>
          <w:sz w:val="23"/>
          <w:szCs w:val="23"/>
        </w:rPr>
      </w:pPr>
      <w:r w:rsidRPr="00FB4DA9">
        <w:rPr>
          <w:rFonts w:ascii="Brandon Grotesque Black" w:hAnsi="Brandon Grotesque Black"/>
          <w:b/>
          <w:bCs/>
          <w:color w:val="auto"/>
          <w:sz w:val="23"/>
          <w:szCs w:val="23"/>
        </w:rPr>
        <w:t>ARTICLE 7 – Critères d’attribution et sélection du candidat.</w:t>
      </w:r>
    </w:p>
    <w:p w:rsidR="00FB4DA9" w:rsidRPr="00FB4DA9" w:rsidRDefault="00FB4DA9" w:rsidP="00FB4DA9">
      <w:pPr>
        <w:pStyle w:val="Default"/>
        <w:jc w:val="both"/>
        <w:rPr>
          <w:rFonts w:ascii="Brandon Grotesque Black" w:hAnsi="Brandon Grotesque Black"/>
          <w:color w:val="auto"/>
          <w:sz w:val="23"/>
          <w:szCs w:val="23"/>
        </w:rPr>
      </w:pPr>
    </w:p>
    <w:p w:rsidR="00FB4DA9" w:rsidRPr="00FB4DA9" w:rsidRDefault="00FB4DA9" w:rsidP="00FB4DA9">
      <w:pPr>
        <w:pStyle w:val="Default"/>
        <w:jc w:val="both"/>
        <w:rPr>
          <w:rFonts w:ascii="LATO" w:hAnsi="LATO"/>
          <w:color w:val="auto"/>
          <w:sz w:val="23"/>
          <w:szCs w:val="23"/>
        </w:rPr>
      </w:pPr>
      <w:r w:rsidRPr="00FB4DA9">
        <w:rPr>
          <w:rFonts w:ascii="LATO" w:hAnsi="LATO"/>
          <w:color w:val="auto"/>
          <w:sz w:val="23"/>
          <w:szCs w:val="23"/>
        </w:rPr>
        <w:t xml:space="preserve">Le jugement des offres des candidats se fera en fonction des critères suivants : </w:t>
      </w:r>
    </w:p>
    <w:p w:rsidR="00FB4DA9" w:rsidRPr="00FB4DA9" w:rsidRDefault="00FB4DA9" w:rsidP="00FB4DA9">
      <w:pPr>
        <w:pStyle w:val="Default"/>
        <w:jc w:val="both"/>
        <w:rPr>
          <w:rFonts w:ascii="LATO" w:hAnsi="LATO"/>
          <w:color w:val="auto"/>
          <w:sz w:val="23"/>
          <w:szCs w:val="23"/>
        </w:rPr>
      </w:pPr>
      <w:r w:rsidRPr="00FB4DA9">
        <w:rPr>
          <w:rFonts w:ascii="LATO" w:hAnsi="LATO"/>
          <w:color w:val="auto"/>
          <w:sz w:val="23"/>
          <w:szCs w:val="23"/>
        </w:rPr>
        <w:t xml:space="preserve">Part fixe + % de part variable supérieure ou égale à 3 % sur proposition </w:t>
      </w:r>
    </w:p>
    <w:p w:rsidR="00FB4DA9" w:rsidRPr="00FB4DA9" w:rsidRDefault="00FB4DA9" w:rsidP="00FB4DA9">
      <w:pPr>
        <w:pStyle w:val="Default"/>
        <w:jc w:val="both"/>
        <w:rPr>
          <w:rFonts w:ascii="LATO" w:hAnsi="LATO"/>
          <w:b/>
          <w:bCs/>
          <w:color w:val="auto"/>
          <w:sz w:val="23"/>
          <w:szCs w:val="23"/>
        </w:rPr>
      </w:pPr>
    </w:p>
    <w:p w:rsidR="00FB4DA9" w:rsidRPr="00FB4DA9" w:rsidRDefault="00FB4DA9" w:rsidP="00FB4DA9">
      <w:pPr>
        <w:pStyle w:val="Default"/>
        <w:jc w:val="both"/>
        <w:rPr>
          <w:rFonts w:ascii="LATO" w:hAnsi="LATO"/>
          <w:sz w:val="23"/>
          <w:szCs w:val="23"/>
        </w:rPr>
      </w:pPr>
      <w:r w:rsidRPr="00FB4DA9">
        <w:rPr>
          <w:rFonts w:ascii="LATO" w:hAnsi="LATO"/>
          <w:b/>
          <w:bCs/>
          <w:color w:val="auto"/>
          <w:sz w:val="23"/>
          <w:szCs w:val="23"/>
        </w:rPr>
        <w:t xml:space="preserve">1) Critère montant de la redevance </w:t>
      </w:r>
      <w:r w:rsidRPr="00FB4DA9">
        <w:rPr>
          <w:rFonts w:ascii="LATO" w:hAnsi="LATO"/>
          <w:color w:val="auto"/>
          <w:sz w:val="23"/>
          <w:szCs w:val="23"/>
        </w:rPr>
        <w:t xml:space="preserve">: montant de la redevance annuelle proposé par le candidat (le plancher est </w:t>
      </w:r>
      <w:r w:rsidRPr="00FB4DA9">
        <w:rPr>
          <w:rFonts w:ascii="LATO" w:hAnsi="LATO"/>
          <w:sz w:val="23"/>
          <w:szCs w:val="23"/>
        </w:rPr>
        <w:t xml:space="preserve">fixé à </w:t>
      </w:r>
      <w:r w:rsidR="002B1729">
        <w:rPr>
          <w:rFonts w:ascii="LATO" w:hAnsi="LATO"/>
          <w:sz w:val="23"/>
          <w:szCs w:val="23"/>
        </w:rPr>
        <w:t>9.10</w:t>
      </w:r>
      <w:r w:rsidRPr="00FB4DA9">
        <w:rPr>
          <w:rFonts w:ascii="LATO" w:hAnsi="LATO"/>
          <w:sz w:val="23"/>
          <w:szCs w:val="23"/>
        </w:rPr>
        <w:t xml:space="preserve"> € par m²/mois) + % de la part variable supérieure ou égale à 3% (décision municipale n°2022-</w:t>
      </w:r>
      <w:r w:rsidR="002B1729">
        <w:rPr>
          <w:rFonts w:ascii="LATO" w:hAnsi="LATO"/>
          <w:sz w:val="23"/>
          <w:szCs w:val="23"/>
        </w:rPr>
        <w:t>0140</w:t>
      </w:r>
      <w:r w:rsidRPr="00FB4DA9">
        <w:rPr>
          <w:rFonts w:ascii="LATO" w:hAnsi="LATO"/>
          <w:sz w:val="23"/>
          <w:szCs w:val="23"/>
        </w:rPr>
        <w:t>)</w:t>
      </w:r>
    </w:p>
    <w:p w:rsidR="00FB4DA9" w:rsidRPr="00FB4DA9" w:rsidRDefault="00FB4DA9" w:rsidP="00FB4DA9">
      <w:pPr>
        <w:pStyle w:val="Default"/>
        <w:jc w:val="both"/>
        <w:rPr>
          <w:rFonts w:ascii="LATO" w:hAnsi="LATO"/>
          <w:color w:val="auto"/>
          <w:sz w:val="23"/>
          <w:szCs w:val="23"/>
        </w:rPr>
      </w:pPr>
      <w:r w:rsidRPr="00FB4DA9">
        <w:rPr>
          <w:rFonts w:ascii="LATO" w:hAnsi="LATO"/>
          <w:sz w:val="23"/>
          <w:szCs w:val="23"/>
        </w:rPr>
        <w:t xml:space="preserve"> </w:t>
      </w:r>
      <w:r w:rsidRPr="00FB4DA9">
        <w:rPr>
          <w:rFonts w:ascii="LATO" w:hAnsi="LATO"/>
          <w:color w:val="auto"/>
          <w:sz w:val="23"/>
          <w:szCs w:val="23"/>
        </w:rPr>
        <w:t xml:space="preserve">Ce critère sera examiné à concurrence de </w:t>
      </w:r>
      <w:r w:rsidRPr="00FB4DA9">
        <w:rPr>
          <w:rFonts w:ascii="LATO" w:hAnsi="LATO"/>
          <w:b/>
          <w:color w:val="auto"/>
          <w:sz w:val="23"/>
          <w:szCs w:val="23"/>
        </w:rPr>
        <w:t>50 %</w:t>
      </w:r>
      <w:r w:rsidRPr="00FB4DA9">
        <w:rPr>
          <w:rFonts w:ascii="LATO" w:hAnsi="LATO"/>
          <w:color w:val="auto"/>
          <w:sz w:val="23"/>
          <w:szCs w:val="23"/>
        </w:rPr>
        <w:t xml:space="preserve"> dans le cadre du jugement des offres. </w:t>
      </w:r>
    </w:p>
    <w:p w:rsidR="00FB4DA9" w:rsidRPr="00FB4DA9" w:rsidRDefault="00FB4DA9" w:rsidP="00FB4DA9">
      <w:pPr>
        <w:pStyle w:val="Default"/>
        <w:jc w:val="both"/>
        <w:rPr>
          <w:rFonts w:ascii="LATO" w:hAnsi="LATO"/>
          <w:color w:val="auto"/>
          <w:sz w:val="23"/>
          <w:szCs w:val="23"/>
        </w:rPr>
      </w:pPr>
      <w:r w:rsidRPr="00FB4DA9">
        <w:rPr>
          <w:rFonts w:ascii="LATO" w:hAnsi="LATO"/>
          <w:color w:val="auto"/>
          <w:sz w:val="23"/>
          <w:szCs w:val="23"/>
        </w:rPr>
        <w:t>Les propositions seront classées par ordre décroissant de prix.</w:t>
      </w:r>
    </w:p>
    <w:p w:rsidR="00FB4DA9" w:rsidRPr="00FB4DA9" w:rsidRDefault="00FB4DA9" w:rsidP="00FB4DA9">
      <w:pPr>
        <w:pStyle w:val="Default"/>
        <w:jc w:val="both"/>
        <w:rPr>
          <w:rFonts w:ascii="LATO" w:hAnsi="LATO"/>
          <w:color w:val="auto"/>
          <w:sz w:val="23"/>
          <w:szCs w:val="23"/>
        </w:rPr>
      </w:pPr>
    </w:p>
    <w:p w:rsidR="00FB4DA9" w:rsidRPr="00FB4DA9" w:rsidRDefault="00FB4DA9" w:rsidP="00FB4DA9">
      <w:pPr>
        <w:pStyle w:val="Default"/>
        <w:jc w:val="both"/>
        <w:rPr>
          <w:rFonts w:ascii="LATO" w:hAnsi="LATO"/>
          <w:b/>
          <w:bCs/>
          <w:color w:val="auto"/>
          <w:sz w:val="23"/>
          <w:szCs w:val="23"/>
        </w:rPr>
      </w:pPr>
    </w:p>
    <w:p w:rsidR="00FB4DA9" w:rsidRPr="00FB4DA9" w:rsidRDefault="00FB4DA9" w:rsidP="00FB4DA9">
      <w:pPr>
        <w:pStyle w:val="Default"/>
        <w:jc w:val="both"/>
        <w:rPr>
          <w:rFonts w:ascii="LATO" w:hAnsi="LATO"/>
          <w:color w:val="auto"/>
          <w:sz w:val="23"/>
          <w:szCs w:val="23"/>
        </w:rPr>
      </w:pPr>
      <w:r w:rsidRPr="00FB4DA9">
        <w:rPr>
          <w:rFonts w:ascii="LATO" w:hAnsi="LATO"/>
          <w:b/>
          <w:bCs/>
          <w:color w:val="auto"/>
          <w:sz w:val="23"/>
          <w:szCs w:val="23"/>
        </w:rPr>
        <w:t xml:space="preserve">2) Faisabilité technique et capacité du candidat </w:t>
      </w:r>
      <w:r w:rsidRPr="00FB4DA9">
        <w:rPr>
          <w:rFonts w:ascii="LATO" w:hAnsi="LATO"/>
          <w:color w:val="auto"/>
          <w:sz w:val="23"/>
          <w:szCs w:val="23"/>
        </w:rPr>
        <w:t xml:space="preserve">: </w:t>
      </w:r>
    </w:p>
    <w:p w:rsidR="00FB4DA9" w:rsidRPr="00FB4DA9" w:rsidRDefault="00FB4DA9" w:rsidP="00FB4DA9">
      <w:pPr>
        <w:pStyle w:val="Default"/>
        <w:jc w:val="both"/>
        <w:rPr>
          <w:rFonts w:ascii="LATO" w:hAnsi="LATO"/>
          <w:color w:val="auto"/>
          <w:sz w:val="23"/>
          <w:szCs w:val="23"/>
        </w:rPr>
      </w:pPr>
    </w:p>
    <w:p w:rsidR="00FB4DA9" w:rsidRPr="00FB4DA9" w:rsidRDefault="00FB4DA9" w:rsidP="00FB4DA9">
      <w:pPr>
        <w:pStyle w:val="Default"/>
        <w:jc w:val="both"/>
        <w:rPr>
          <w:rFonts w:ascii="LATO" w:hAnsi="LATO"/>
          <w:color w:val="auto"/>
          <w:sz w:val="23"/>
          <w:szCs w:val="23"/>
        </w:rPr>
      </w:pPr>
      <w:r w:rsidRPr="00FB4DA9">
        <w:rPr>
          <w:rFonts w:ascii="LATO" w:hAnsi="LATO"/>
          <w:color w:val="auto"/>
          <w:sz w:val="23"/>
          <w:szCs w:val="23"/>
        </w:rPr>
        <w:t xml:space="preserve">Ce critère sera examiné à concurrence de </w:t>
      </w:r>
      <w:r w:rsidRPr="00FB4DA9">
        <w:rPr>
          <w:rFonts w:ascii="LATO" w:hAnsi="LATO"/>
          <w:b/>
          <w:color w:val="auto"/>
          <w:sz w:val="23"/>
          <w:szCs w:val="23"/>
        </w:rPr>
        <w:t>30 %</w:t>
      </w:r>
      <w:r w:rsidRPr="00FB4DA9">
        <w:rPr>
          <w:rFonts w:ascii="LATO" w:hAnsi="LATO"/>
          <w:color w:val="auto"/>
          <w:sz w:val="23"/>
          <w:szCs w:val="23"/>
        </w:rPr>
        <w:t xml:space="preserve"> dans le cadre du jugement des offres. </w:t>
      </w:r>
    </w:p>
    <w:p w:rsidR="00FB4DA9" w:rsidRPr="00FB4DA9" w:rsidRDefault="00FB4DA9" w:rsidP="00FB4DA9">
      <w:pPr>
        <w:pStyle w:val="Default"/>
        <w:jc w:val="both"/>
        <w:rPr>
          <w:rFonts w:ascii="LATO" w:hAnsi="LATO"/>
          <w:color w:val="auto"/>
          <w:sz w:val="23"/>
          <w:szCs w:val="23"/>
        </w:rPr>
      </w:pPr>
    </w:p>
    <w:p w:rsidR="00FB4DA9" w:rsidRPr="00FB4DA9" w:rsidRDefault="00FB4DA9" w:rsidP="00FB4DA9">
      <w:pPr>
        <w:pStyle w:val="Default"/>
        <w:jc w:val="both"/>
        <w:rPr>
          <w:rFonts w:ascii="LATO" w:hAnsi="LATO"/>
          <w:color w:val="auto"/>
          <w:sz w:val="23"/>
          <w:szCs w:val="23"/>
        </w:rPr>
      </w:pPr>
      <w:r w:rsidRPr="00FB4DA9">
        <w:rPr>
          <w:rFonts w:ascii="LATO" w:hAnsi="LATO"/>
          <w:color w:val="auto"/>
          <w:sz w:val="23"/>
          <w:szCs w:val="23"/>
        </w:rPr>
        <w:t xml:space="preserve">Il est composé de deux sous critères : </w:t>
      </w:r>
    </w:p>
    <w:p w:rsidR="00FB4DA9" w:rsidRPr="00FB4DA9" w:rsidRDefault="00FB4DA9" w:rsidP="00FB4DA9">
      <w:pPr>
        <w:pStyle w:val="Default"/>
        <w:jc w:val="both"/>
        <w:rPr>
          <w:rFonts w:ascii="LATO" w:hAnsi="LATO"/>
          <w:b/>
          <w:bCs/>
          <w:color w:val="auto"/>
          <w:sz w:val="23"/>
          <w:szCs w:val="23"/>
        </w:rPr>
      </w:pPr>
      <w:r w:rsidRPr="00FB4DA9">
        <w:rPr>
          <w:rFonts w:ascii="LATO" w:hAnsi="LATO"/>
          <w:b/>
          <w:bCs/>
          <w:color w:val="auto"/>
          <w:sz w:val="23"/>
          <w:szCs w:val="23"/>
        </w:rPr>
        <w:t xml:space="preserve">1er sous critère : </w:t>
      </w:r>
      <w:r w:rsidRPr="00FB4DA9">
        <w:rPr>
          <w:rFonts w:ascii="LATO" w:hAnsi="LATO"/>
          <w:bCs/>
          <w:color w:val="auto"/>
          <w:sz w:val="23"/>
          <w:szCs w:val="23"/>
        </w:rPr>
        <w:t>capacité technique du candidat (fiabilité et  niveau de performance du matériel utilisé,…) et du suivi des procédures obligatoires de vérification et maintenance technique pour une valeur de 20%</w:t>
      </w:r>
    </w:p>
    <w:p w:rsidR="00FB4DA9" w:rsidRPr="00FB4DA9" w:rsidRDefault="00FB4DA9" w:rsidP="00FB4DA9">
      <w:pPr>
        <w:pStyle w:val="Default"/>
        <w:jc w:val="both"/>
        <w:rPr>
          <w:rFonts w:ascii="LATO" w:hAnsi="LATO"/>
          <w:color w:val="auto"/>
          <w:sz w:val="23"/>
          <w:szCs w:val="23"/>
        </w:rPr>
      </w:pPr>
      <w:r w:rsidRPr="00FB4DA9">
        <w:rPr>
          <w:rFonts w:ascii="LATO" w:hAnsi="LATO"/>
          <w:b/>
          <w:bCs/>
          <w:color w:val="auto"/>
          <w:sz w:val="23"/>
          <w:szCs w:val="23"/>
        </w:rPr>
        <w:t>2</w:t>
      </w:r>
      <w:r w:rsidRPr="00FB4DA9">
        <w:rPr>
          <w:rFonts w:ascii="LATO" w:hAnsi="LATO"/>
          <w:b/>
          <w:bCs/>
          <w:color w:val="auto"/>
          <w:sz w:val="23"/>
          <w:szCs w:val="23"/>
          <w:vertAlign w:val="superscript"/>
        </w:rPr>
        <w:t>ème</w:t>
      </w:r>
      <w:r w:rsidRPr="00FB4DA9">
        <w:rPr>
          <w:rFonts w:ascii="LATO" w:hAnsi="LATO"/>
          <w:b/>
          <w:bCs/>
          <w:color w:val="auto"/>
          <w:sz w:val="23"/>
          <w:szCs w:val="23"/>
        </w:rPr>
        <w:t xml:space="preserve"> sous critère : </w:t>
      </w:r>
      <w:r w:rsidRPr="00FB4DA9">
        <w:rPr>
          <w:rFonts w:ascii="LATO" w:hAnsi="LATO"/>
          <w:color w:val="auto"/>
          <w:sz w:val="23"/>
          <w:szCs w:val="23"/>
        </w:rPr>
        <w:t>expérience antérieure du candidat, pour une valeur de 10%.</w:t>
      </w:r>
    </w:p>
    <w:p w:rsidR="00FB4DA9" w:rsidRPr="00FB4DA9" w:rsidRDefault="00FB4DA9" w:rsidP="00FB4DA9">
      <w:pPr>
        <w:pStyle w:val="Default"/>
        <w:jc w:val="both"/>
        <w:rPr>
          <w:rFonts w:ascii="LATO" w:hAnsi="LATO"/>
          <w:color w:val="auto"/>
          <w:sz w:val="23"/>
          <w:szCs w:val="23"/>
        </w:rPr>
      </w:pPr>
    </w:p>
    <w:p w:rsidR="00FB4DA9" w:rsidRPr="00FB4DA9" w:rsidRDefault="00FB4DA9" w:rsidP="00FB4DA9">
      <w:pPr>
        <w:pStyle w:val="Default"/>
        <w:jc w:val="both"/>
        <w:rPr>
          <w:rFonts w:ascii="LATO" w:hAnsi="LATO"/>
          <w:color w:val="auto"/>
          <w:sz w:val="23"/>
          <w:szCs w:val="23"/>
        </w:rPr>
      </w:pPr>
      <w:r w:rsidRPr="00FB4DA9">
        <w:rPr>
          <w:rFonts w:ascii="LATO" w:hAnsi="LATO"/>
          <w:b/>
          <w:color w:val="auto"/>
          <w:sz w:val="23"/>
          <w:szCs w:val="23"/>
        </w:rPr>
        <w:t>3) Critère du prix du service</w:t>
      </w:r>
      <w:r w:rsidRPr="00FB4DA9">
        <w:rPr>
          <w:rFonts w:ascii="LATO" w:hAnsi="LATO"/>
          <w:color w:val="auto"/>
          <w:sz w:val="23"/>
          <w:szCs w:val="23"/>
        </w:rPr>
        <w:t> : montant du prix public pratiqué unitaire.</w:t>
      </w:r>
    </w:p>
    <w:p w:rsidR="00FB4DA9" w:rsidRPr="00FB4DA9" w:rsidRDefault="00FB4DA9" w:rsidP="00FB4DA9">
      <w:pPr>
        <w:pStyle w:val="Default"/>
        <w:jc w:val="both"/>
        <w:rPr>
          <w:rFonts w:ascii="LATO" w:hAnsi="LATO"/>
          <w:color w:val="auto"/>
          <w:sz w:val="23"/>
          <w:szCs w:val="23"/>
        </w:rPr>
      </w:pPr>
      <w:r w:rsidRPr="00FB4DA9">
        <w:rPr>
          <w:rFonts w:ascii="LATO" w:hAnsi="LATO"/>
          <w:color w:val="auto"/>
          <w:sz w:val="23"/>
          <w:szCs w:val="23"/>
        </w:rPr>
        <w:t>Les propositions seront classées par ordre croissant de prix.</w:t>
      </w:r>
    </w:p>
    <w:p w:rsidR="00FB4DA9" w:rsidRPr="00FB4DA9" w:rsidRDefault="00FB4DA9" w:rsidP="00FB4DA9">
      <w:pPr>
        <w:pStyle w:val="Default"/>
        <w:jc w:val="both"/>
        <w:rPr>
          <w:rFonts w:ascii="LATO" w:hAnsi="LATO"/>
          <w:color w:val="auto"/>
          <w:sz w:val="23"/>
          <w:szCs w:val="23"/>
        </w:rPr>
      </w:pPr>
      <w:r w:rsidRPr="00FB4DA9">
        <w:rPr>
          <w:rFonts w:ascii="LATO" w:hAnsi="LATO"/>
          <w:color w:val="auto"/>
          <w:sz w:val="23"/>
          <w:szCs w:val="23"/>
        </w:rPr>
        <w:t xml:space="preserve">Ce critère sera examiné à concurrence de </w:t>
      </w:r>
      <w:r w:rsidRPr="00FB4DA9">
        <w:rPr>
          <w:rFonts w:ascii="LATO" w:hAnsi="LATO"/>
          <w:b/>
          <w:color w:val="auto"/>
          <w:sz w:val="23"/>
          <w:szCs w:val="23"/>
        </w:rPr>
        <w:t>20%</w:t>
      </w:r>
      <w:r w:rsidRPr="00FB4DA9">
        <w:rPr>
          <w:rFonts w:ascii="LATO" w:hAnsi="LATO"/>
          <w:color w:val="auto"/>
          <w:sz w:val="23"/>
          <w:szCs w:val="23"/>
        </w:rPr>
        <w:t xml:space="preserve"> dans le cadre du jugement des offres.</w:t>
      </w:r>
    </w:p>
    <w:p w:rsidR="00FB4DA9" w:rsidRPr="00FB4DA9" w:rsidRDefault="00FB4DA9" w:rsidP="00FB4DA9">
      <w:pPr>
        <w:rPr>
          <w:rFonts w:ascii="LATO" w:hAnsi="LATO"/>
        </w:rPr>
      </w:pPr>
    </w:p>
    <w:p w:rsidR="00FB4DA9" w:rsidRPr="00FB4DA9" w:rsidRDefault="00FB4DA9" w:rsidP="00FB4DA9">
      <w:pPr>
        <w:rPr>
          <w:rFonts w:ascii="LATO" w:hAnsi="LATO"/>
          <w:sz w:val="23"/>
          <w:szCs w:val="23"/>
        </w:rPr>
      </w:pPr>
      <w:r w:rsidRPr="00FB4DA9">
        <w:rPr>
          <w:rFonts w:ascii="LATO" w:hAnsi="LATO"/>
          <w:sz w:val="23"/>
          <w:szCs w:val="23"/>
        </w:rPr>
        <w:t>Les propositions du candidat feront l’objet d’états détaillés à joindre au formulaire d’offre.</w:t>
      </w:r>
    </w:p>
    <w:p w:rsidR="00FB4DA9" w:rsidRDefault="00FB4DA9" w:rsidP="00FB4DA9">
      <w:pPr>
        <w:pStyle w:val="Default"/>
        <w:jc w:val="both"/>
        <w:rPr>
          <w:color w:val="auto"/>
          <w:sz w:val="23"/>
          <w:szCs w:val="23"/>
        </w:rPr>
      </w:pPr>
    </w:p>
    <w:p w:rsidR="00FB4DA9" w:rsidRDefault="00FB4DA9" w:rsidP="00FB4DA9">
      <w:pPr>
        <w:pStyle w:val="Default"/>
        <w:jc w:val="both"/>
        <w:rPr>
          <w:b/>
          <w:bCs/>
          <w:color w:val="auto"/>
          <w:sz w:val="23"/>
          <w:szCs w:val="23"/>
        </w:rPr>
      </w:pPr>
    </w:p>
    <w:p w:rsidR="00FB4DA9" w:rsidRDefault="00FB4DA9" w:rsidP="00FB4DA9">
      <w:pPr>
        <w:pStyle w:val="Default"/>
        <w:jc w:val="both"/>
        <w:rPr>
          <w:rFonts w:ascii="Brandon Grotesque Black" w:hAnsi="Brandon Grotesque Black"/>
          <w:b/>
          <w:bCs/>
          <w:color w:val="auto"/>
          <w:sz w:val="23"/>
          <w:szCs w:val="23"/>
        </w:rPr>
      </w:pPr>
    </w:p>
    <w:p w:rsidR="00FB4DA9" w:rsidRPr="00FB4DA9" w:rsidRDefault="00FB4DA9" w:rsidP="00FB4DA9">
      <w:pPr>
        <w:pStyle w:val="Default"/>
        <w:jc w:val="both"/>
        <w:rPr>
          <w:rFonts w:ascii="Brandon Grotesque Black" w:hAnsi="Brandon Grotesque Black"/>
          <w:color w:val="auto"/>
          <w:sz w:val="23"/>
          <w:szCs w:val="23"/>
        </w:rPr>
      </w:pPr>
      <w:r w:rsidRPr="00FB4DA9">
        <w:rPr>
          <w:rFonts w:ascii="Brandon Grotesque Black" w:hAnsi="Brandon Grotesque Black"/>
          <w:b/>
          <w:bCs/>
          <w:color w:val="auto"/>
          <w:sz w:val="23"/>
          <w:szCs w:val="23"/>
        </w:rPr>
        <w:lastRenderedPageBreak/>
        <w:t xml:space="preserve">ARTICLE 8 - Informations complémentaires </w:t>
      </w:r>
    </w:p>
    <w:p w:rsidR="00FB4DA9" w:rsidRPr="00FB4DA9" w:rsidRDefault="00FB4DA9" w:rsidP="00FB4DA9">
      <w:pPr>
        <w:pStyle w:val="Default"/>
        <w:jc w:val="both"/>
        <w:rPr>
          <w:rFonts w:ascii="LATO" w:hAnsi="LATO"/>
          <w:color w:val="auto"/>
          <w:sz w:val="23"/>
          <w:szCs w:val="23"/>
        </w:rPr>
      </w:pPr>
      <w:r w:rsidRPr="00FB4DA9">
        <w:rPr>
          <w:rFonts w:ascii="LATO" w:hAnsi="LATO"/>
          <w:color w:val="auto"/>
          <w:sz w:val="23"/>
          <w:szCs w:val="23"/>
        </w:rPr>
        <w:t>Toute demande écrite concernant la mise en concurrence peut être adressée à la Ville d’Ajaccio – Direction du commerce, de l’artisanat et du domaine public - par courrier ou courriel (commerce@ville-ajaccio.fr</w:t>
      </w:r>
      <w:r w:rsidRPr="00FB4DA9">
        <w:rPr>
          <w:rFonts w:ascii="LATO" w:hAnsi="LATO"/>
          <w:color w:val="auto"/>
          <w:sz w:val="20"/>
          <w:szCs w:val="20"/>
        </w:rPr>
        <w:t>)</w:t>
      </w:r>
      <w:r w:rsidRPr="00FB4DA9">
        <w:rPr>
          <w:rFonts w:ascii="LATO" w:hAnsi="LATO"/>
          <w:color w:val="auto"/>
          <w:sz w:val="23"/>
          <w:szCs w:val="23"/>
        </w:rPr>
        <w:t xml:space="preserve">, jusqu’à 5 jours maximum avant la date limite de réception des dossiers de candidature. </w:t>
      </w:r>
    </w:p>
    <w:p w:rsidR="00FB4DA9" w:rsidRPr="00FB4DA9" w:rsidRDefault="00FB4DA9" w:rsidP="00FB4DA9">
      <w:pPr>
        <w:pStyle w:val="Default"/>
        <w:jc w:val="both"/>
        <w:rPr>
          <w:rFonts w:ascii="LATO" w:hAnsi="LATO"/>
          <w:color w:val="auto"/>
          <w:sz w:val="23"/>
          <w:szCs w:val="23"/>
        </w:rPr>
      </w:pPr>
      <w:r w:rsidRPr="00FB4DA9">
        <w:rPr>
          <w:rFonts w:ascii="LATO" w:hAnsi="LATO"/>
          <w:color w:val="auto"/>
          <w:sz w:val="23"/>
          <w:szCs w:val="23"/>
        </w:rPr>
        <w:t xml:space="preserve">La réponse sera alors transmise sous 2 jours à l’ensemble des candidats ayant transmis une adresse valide. </w:t>
      </w:r>
    </w:p>
    <w:p w:rsidR="00FB4DA9" w:rsidRDefault="00FB4DA9" w:rsidP="00FB4DA9">
      <w:pPr>
        <w:pStyle w:val="Default"/>
        <w:jc w:val="both"/>
        <w:rPr>
          <w:color w:val="auto"/>
          <w:sz w:val="23"/>
          <w:szCs w:val="23"/>
        </w:rPr>
      </w:pPr>
    </w:p>
    <w:p w:rsidR="00FB4DA9" w:rsidRPr="00FB4DA9" w:rsidRDefault="00FB4DA9" w:rsidP="00FB4DA9">
      <w:pPr>
        <w:pStyle w:val="Default"/>
        <w:jc w:val="both"/>
        <w:rPr>
          <w:rFonts w:ascii="LATO" w:hAnsi="LATO"/>
          <w:color w:val="auto"/>
          <w:sz w:val="23"/>
          <w:szCs w:val="23"/>
        </w:rPr>
      </w:pPr>
      <w:r w:rsidRPr="00FB4DA9">
        <w:rPr>
          <w:rFonts w:ascii="Brandon Grotesque Black" w:hAnsi="Brandon Grotesque Black"/>
          <w:b/>
          <w:bCs/>
          <w:color w:val="auto"/>
          <w:sz w:val="23"/>
          <w:szCs w:val="23"/>
        </w:rPr>
        <w:t xml:space="preserve">DELAI DE VALIDITE DES OFFRES </w:t>
      </w:r>
      <w:r w:rsidRPr="00FB4DA9">
        <w:rPr>
          <w:rFonts w:ascii="Brandon Grotesque Black" w:hAnsi="Brandon Grotesque Black"/>
          <w:color w:val="auto"/>
          <w:sz w:val="23"/>
          <w:szCs w:val="23"/>
        </w:rPr>
        <w:t xml:space="preserve">: </w:t>
      </w:r>
      <w:r w:rsidRPr="00FB4DA9">
        <w:rPr>
          <w:rFonts w:ascii="LATO" w:hAnsi="LATO"/>
          <w:color w:val="auto"/>
          <w:sz w:val="23"/>
          <w:szCs w:val="23"/>
        </w:rPr>
        <w:t xml:space="preserve">5 jours, à compter de la date limite de réception des dossiers de candidature. </w:t>
      </w:r>
    </w:p>
    <w:p w:rsidR="00FB4DA9" w:rsidRDefault="00FB4DA9" w:rsidP="00FB4DA9">
      <w:pPr>
        <w:pStyle w:val="Default"/>
        <w:jc w:val="both"/>
        <w:rPr>
          <w:color w:val="auto"/>
          <w:sz w:val="23"/>
          <w:szCs w:val="23"/>
        </w:rPr>
      </w:pPr>
    </w:p>
    <w:p w:rsidR="00FB4DA9" w:rsidRPr="00FB4DA9" w:rsidRDefault="00FB4DA9" w:rsidP="00FB4DA9">
      <w:pPr>
        <w:pStyle w:val="Default"/>
        <w:jc w:val="both"/>
        <w:rPr>
          <w:rFonts w:ascii="Brandon Grotesque Black" w:hAnsi="Brandon Grotesque Black"/>
          <w:color w:val="auto"/>
          <w:sz w:val="23"/>
          <w:szCs w:val="23"/>
        </w:rPr>
      </w:pPr>
      <w:r w:rsidRPr="00FB4DA9">
        <w:rPr>
          <w:rFonts w:ascii="Brandon Grotesque Black" w:hAnsi="Brandon Grotesque Black"/>
          <w:b/>
          <w:bCs/>
          <w:color w:val="auto"/>
          <w:sz w:val="23"/>
          <w:szCs w:val="23"/>
        </w:rPr>
        <w:t>ARTICLE 9 – Publication.</w:t>
      </w:r>
    </w:p>
    <w:p w:rsidR="00FB4DA9" w:rsidRDefault="00FB4DA9" w:rsidP="00FB4DA9">
      <w:pPr>
        <w:pStyle w:val="Default"/>
        <w:jc w:val="both"/>
        <w:rPr>
          <w:color w:val="auto"/>
          <w:sz w:val="23"/>
          <w:szCs w:val="23"/>
        </w:rPr>
      </w:pPr>
    </w:p>
    <w:p w:rsidR="00FB4DA9" w:rsidRPr="00FB4DA9" w:rsidRDefault="00FB4DA9" w:rsidP="00FB4DA9">
      <w:pPr>
        <w:pStyle w:val="Default"/>
        <w:jc w:val="both"/>
        <w:rPr>
          <w:rFonts w:ascii="LATO" w:hAnsi="LATO"/>
          <w:color w:val="auto"/>
          <w:sz w:val="23"/>
          <w:szCs w:val="23"/>
        </w:rPr>
      </w:pPr>
      <w:r w:rsidRPr="00FB4DA9">
        <w:rPr>
          <w:rFonts w:ascii="LATO" w:hAnsi="LATO"/>
          <w:color w:val="auto"/>
          <w:sz w:val="23"/>
          <w:szCs w:val="23"/>
        </w:rPr>
        <w:t xml:space="preserve">Le présent appel à mise à concurrence fait l’objet : </w:t>
      </w:r>
    </w:p>
    <w:p w:rsidR="00FB4DA9" w:rsidRPr="00FB4DA9" w:rsidRDefault="00FB4DA9" w:rsidP="00FB4DA9">
      <w:pPr>
        <w:pStyle w:val="Default"/>
        <w:numPr>
          <w:ilvl w:val="0"/>
          <w:numId w:val="1"/>
        </w:numPr>
        <w:jc w:val="both"/>
        <w:rPr>
          <w:rFonts w:ascii="LATO" w:hAnsi="LATO"/>
          <w:color w:val="auto"/>
          <w:sz w:val="23"/>
          <w:szCs w:val="23"/>
        </w:rPr>
      </w:pPr>
      <w:r w:rsidRPr="00FB4DA9">
        <w:rPr>
          <w:rFonts w:ascii="LATO" w:hAnsi="LATO"/>
          <w:color w:val="auto"/>
          <w:sz w:val="23"/>
          <w:szCs w:val="23"/>
        </w:rPr>
        <w:t xml:space="preserve">d’une publication sur le site internet de la Ville d’Ajaccio ; </w:t>
      </w:r>
    </w:p>
    <w:p w:rsidR="00FB4DA9" w:rsidRPr="00FB4DA9" w:rsidRDefault="00FB4DA9" w:rsidP="00FB4DA9">
      <w:pPr>
        <w:pStyle w:val="Default"/>
        <w:numPr>
          <w:ilvl w:val="0"/>
          <w:numId w:val="1"/>
        </w:numPr>
        <w:jc w:val="both"/>
        <w:rPr>
          <w:rFonts w:ascii="LATO" w:hAnsi="LATO"/>
          <w:color w:val="auto"/>
          <w:sz w:val="23"/>
          <w:szCs w:val="23"/>
        </w:rPr>
      </w:pPr>
      <w:r w:rsidRPr="00FB4DA9">
        <w:rPr>
          <w:rFonts w:ascii="LATO" w:hAnsi="LATO"/>
          <w:color w:val="auto"/>
          <w:sz w:val="23"/>
          <w:szCs w:val="23"/>
        </w:rPr>
        <w:t xml:space="preserve">d’un affichage en Mairie (Hôtel de Ville et Bureau de </w:t>
      </w:r>
      <w:smartTag w:uri="urn:schemas-microsoft-com:office:smarttags" w:element="PersonName">
        <w:smartTagPr>
          <w:attr w:name="ProductID" w:val="la Direction"/>
        </w:smartTagPr>
        <w:r w:rsidRPr="00FB4DA9">
          <w:rPr>
            <w:rFonts w:ascii="LATO" w:hAnsi="LATO"/>
            <w:color w:val="auto"/>
            <w:sz w:val="23"/>
            <w:szCs w:val="23"/>
          </w:rPr>
          <w:t>la Direction</w:t>
        </w:r>
      </w:smartTag>
      <w:r w:rsidRPr="00FB4DA9">
        <w:rPr>
          <w:rFonts w:ascii="LATO" w:hAnsi="LATO"/>
          <w:color w:val="auto"/>
          <w:sz w:val="23"/>
          <w:szCs w:val="23"/>
        </w:rPr>
        <w:t xml:space="preserve"> du Commerce, de l’artisanat et du domaine public).</w:t>
      </w:r>
    </w:p>
    <w:p w:rsidR="00FB4DA9" w:rsidRPr="00FB4DA9" w:rsidRDefault="00FB4DA9" w:rsidP="00FB4DA9">
      <w:pPr>
        <w:pStyle w:val="Default"/>
        <w:numPr>
          <w:ilvl w:val="0"/>
          <w:numId w:val="1"/>
        </w:numPr>
        <w:jc w:val="both"/>
        <w:rPr>
          <w:rFonts w:ascii="LATO" w:hAnsi="LATO"/>
          <w:color w:val="auto"/>
          <w:sz w:val="23"/>
          <w:szCs w:val="23"/>
        </w:rPr>
      </w:pPr>
    </w:p>
    <w:p w:rsidR="00FB4DA9" w:rsidRPr="00FB4DA9" w:rsidRDefault="00FB4DA9" w:rsidP="00FB4DA9">
      <w:pPr>
        <w:pStyle w:val="Default"/>
        <w:jc w:val="both"/>
        <w:rPr>
          <w:rFonts w:ascii="LATO" w:hAnsi="LATO"/>
          <w:color w:val="auto"/>
          <w:sz w:val="23"/>
          <w:szCs w:val="23"/>
        </w:rPr>
      </w:pPr>
      <w:r w:rsidRPr="00FB4DA9">
        <w:rPr>
          <w:rFonts w:ascii="LATO" w:hAnsi="LATO"/>
          <w:color w:val="auto"/>
          <w:sz w:val="23"/>
          <w:szCs w:val="23"/>
        </w:rPr>
        <w:t xml:space="preserve">L’avis d’attribution de la convention d’occupation du domaine public sera publié sur le site internet de la Ville d’Ajaccio pendant 8 jours. </w:t>
      </w:r>
    </w:p>
    <w:p w:rsidR="00FB4DA9" w:rsidRDefault="00FB4DA9" w:rsidP="00FB4DA9">
      <w:pPr>
        <w:autoSpaceDE w:val="0"/>
        <w:autoSpaceDN w:val="0"/>
        <w:adjustRightInd w:val="0"/>
        <w:rPr>
          <w:b/>
          <w:bCs/>
          <w:sz w:val="23"/>
          <w:szCs w:val="23"/>
        </w:rPr>
      </w:pPr>
    </w:p>
    <w:p w:rsidR="00FB4DA9" w:rsidRPr="00FB4DA9" w:rsidRDefault="00FB4DA9" w:rsidP="00FB4DA9">
      <w:pPr>
        <w:autoSpaceDE w:val="0"/>
        <w:autoSpaceDN w:val="0"/>
        <w:adjustRightInd w:val="0"/>
        <w:rPr>
          <w:rFonts w:ascii="Brandon Grotesque Black" w:hAnsi="Brandon Grotesque Black"/>
          <w:sz w:val="22"/>
          <w:szCs w:val="22"/>
          <w:lang w:bidi="mr-IN"/>
        </w:rPr>
      </w:pPr>
      <w:r w:rsidRPr="00FB4DA9">
        <w:rPr>
          <w:rFonts w:ascii="Brandon Grotesque Black" w:hAnsi="Brandon Grotesque Black"/>
          <w:b/>
          <w:bCs/>
          <w:sz w:val="23"/>
          <w:szCs w:val="23"/>
        </w:rPr>
        <w:t xml:space="preserve">Date de publication : le </w:t>
      </w:r>
      <w:r w:rsidR="002B1729">
        <w:rPr>
          <w:rFonts w:ascii="Brandon Grotesque Black" w:hAnsi="Brandon Grotesque Black"/>
          <w:b/>
          <w:bCs/>
          <w:sz w:val="23"/>
          <w:szCs w:val="23"/>
        </w:rPr>
        <w:t>7</w:t>
      </w:r>
      <w:r w:rsidRPr="00FB4DA9">
        <w:rPr>
          <w:rFonts w:ascii="Brandon Grotesque Black" w:hAnsi="Brandon Grotesque Black"/>
          <w:b/>
          <w:bCs/>
          <w:sz w:val="23"/>
          <w:szCs w:val="23"/>
        </w:rPr>
        <w:t xml:space="preserve"> mars 202</w:t>
      </w:r>
      <w:r w:rsidR="002B1729">
        <w:rPr>
          <w:rFonts w:ascii="Brandon Grotesque Black" w:hAnsi="Brandon Grotesque Black"/>
          <w:b/>
          <w:bCs/>
          <w:sz w:val="23"/>
          <w:szCs w:val="23"/>
        </w:rPr>
        <w:t>3</w:t>
      </w:r>
    </w:p>
    <w:p w:rsidR="00FB4DA9" w:rsidRDefault="00FB4DA9" w:rsidP="00FB4DA9">
      <w:pPr>
        <w:autoSpaceDE w:val="0"/>
        <w:autoSpaceDN w:val="0"/>
        <w:adjustRightInd w:val="0"/>
        <w:rPr>
          <w:sz w:val="22"/>
          <w:szCs w:val="22"/>
          <w:lang w:bidi="mr-IN"/>
        </w:rPr>
      </w:pPr>
    </w:p>
    <w:p w:rsidR="00FB4DA9" w:rsidRDefault="00FB4DA9" w:rsidP="00FB4DA9">
      <w:pPr>
        <w:autoSpaceDE w:val="0"/>
        <w:autoSpaceDN w:val="0"/>
        <w:adjustRightInd w:val="0"/>
        <w:rPr>
          <w:sz w:val="22"/>
          <w:szCs w:val="22"/>
          <w:lang w:bidi="mr-IN"/>
        </w:rPr>
      </w:pPr>
    </w:p>
    <w:p w:rsidR="00FB4DA9" w:rsidRDefault="00FB4DA9" w:rsidP="00FB4DA9">
      <w:pPr>
        <w:autoSpaceDE w:val="0"/>
        <w:autoSpaceDN w:val="0"/>
        <w:adjustRightInd w:val="0"/>
        <w:rPr>
          <w:sz w:val="22"/>
          <w:szCs w:val="22"/>
          <w:lang w:bidi="mr-IN"/>
        </w:rPr>
      </w:pPr>
    </w:p>
    <w:p w:rsidR="00FB4DA9" w:rsidRDefault="00FB4DA9" w:rsidP="00FB4DA9">
      <w:pPr>
        <w:autoSpaceDE w:val="0"/>
        <w:autoSpaceDN w:val="0"/>
        <w:adjustRightInd w:val="0"/>
        <w:rPr>
          <w:sz w:val="22"/>
          <w:szCs w:val="22"/>
          <w:lang w:bidi="mr-IN"/>
        </w:rPr>
      </w:pPr>
    </w:p>
    <w:p w:rsidR="006E304F" w:rsidRDefault="006E304F" w:rsidP="00FE6263"/>
    <w:p w:rsidR="00B15889" w:rsidRDefault="00B15889" w:rsidP="00FE6263"/>
    <w:p w:rsidR="006E304F" w:rsidRPr="00781C43" w:rsidRDefault="006E304F" w:rsidP="006E304F">
      <w:pPr>
        <w:pStyle w:val="Default"/>
        <w:jc w:val="both"/>
        <w:rPr>
          <w:color w:val="auto"/>
          <w:sz w:val="23"/>
          <w:szCs w:val="23"/>
        </w:rPr>
      </w:pPr>
    </w:p>
    <w:p w:rsidR="006E304F" w:rsidRPr="00781C43" w:rsidRDefault="006E304F" w:rsidP="006E304F">
      <w:pPr>
        <w:pStyle w:val="Default"/>
        <w:rPr>
          <w:b/>
          <w:bCs/>
          <w:color w:val="auto"/>
          <w:sz w:val="26"/>
          <w:szCs w:val="26"/>
          <w:highlight w:val="yellow"/>
        </w:rPr>
      </w:pPr>
    </w:p>
    <w:sectPr w:rsidR="006E304F" w:rsidRPr="00781C43" w:rsidSect="00E647AC">
      <w:headerReference w:type="even" r:id="rId8"/>
      <w:headerReference w:type="default" r:id="rId9"/>
      <w:footerReference w:type="even" r:id="rId10"/>
      <w:footerReference w:type="default" r:id="rId11"/>
      <w:headerReference w:type="first" r:id="rId12"/>
      <w:footerReference w:type="first" r:id="rId13"/>
      <w:pgSz w:w="11900" w:h="16840"/>
      <w:pgMar w:top="212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269" w:rsidRDefault="005E5269" w:rsidP="00C71BD2">
      <w:r>
        <w:separator/>
      </w:r>
    </w:p>
  </w:endnote>
  <w:endnote w:type="continuationSeparator" w:id="0">
    <w:p w:rsidR="005E5269" w:rsidRDefault="005E5269" w:rsidP="00C7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ndon Grotesque Black">
    <w:altName w:val="Arial"/>
    <w:panose1 w:val="00000000000000000000"/>
    <w:charset w:val="00"/>
    <w:family w:val="swiss"/>
    <w:notTrueType/>
    <w:pitch w:val="variable"/>
    <w:sig w:usb0="A00000AF" w:usb1="5000205B" w:usb2="00000000" w:usb3="00000000" w:csb0="0000009B" w:csb1="00000000"/>
  </w:font>
  <w:font w:name="LATO">
    <w:altName w:val="Times New Roman"/>
    <w:panose1 w:val="00000000000000000000"/>
    <w:charset w:val="00"/>
    <w:family w:val="roman"/>
    <w:notTrueType/>
    <w:pitch w:val="default"/>
  </w:font>
  <w:font w:name="Brandon Grotesque Medium">
    <w:altName w:val="Arial"/>
    <w:panose1 w:val="00000000000000000000"/>
    <w:charset w:val="4D"/>
    <w:family w:val="swiss"/>
    <w:notTrueType/>
    <w:pitch w:val="variable"/>
    <w:sig w:usb0="00000001"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93E" w:rsidRDefault="0079293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93E" w:rsidRDefault="0079293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93E" w:rsidRDefault="007929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269" w:rsidRDefault="005E5269" w:rsidP="00C71BD2">
      <w:r>
        <w:separator/>
      </w:r>
    </w:p>
  </w:footnote>
  <w:footnote w:type="continuationSeparator" w:id="0">
    <w:p w:rsidR="005E5269" w:rsidRDefault="005E5269" w:rsidP="00C71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93E" w:rsidRDefault="0079293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93E" w:rsidRDefault="0079293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7D8" w:rsidRDefault="0095594F">
    <w:pPr>
      <w:pStyle w:val="En-tte"/>
    </w:pPr>
    <w:r>
      <w:rPr>
        <w:noProof/>
      </w:rPr>
      <w:pict>
        <v:shapetype id="_x0000_t202" coordsize="21600,21600" o:spt="202" path="m,l,21600r21600,l21600,xe">
          <v:stroke joinstyle="miter"/>
          <v:path gradientshapeok="t" o:connecttype="rect"/>
        </v:shapetype>
        <v:shape id="Zone de texte 3" o:spid="_x0000_s1026" type="#_x0000_t202" style="position:absolute;left:0;text-align:left;margin-left:-49.1pt;margin-top:776pt;width:549.8pt;height:2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" filled="f" stroked="f" strokeweight=".5pt">
          <v:textbox style="mso-next-textbox:#Zone de texte 3">
            <w:txbxContent>
              <w:p w:rsidR="007717D8" w:rsidRPr="00783BDE" w:rsidRDefault="007717D8" w:rsidP="007717D8">
                <w:pPr>
                  <w:ind w:firstLine="0"/>
                  <w:jc w:val="center"/>
                  <w:rPr>
                    <w:rFonts w:ascii="Brandon Grotesque Medium" w:hAnsi="Brandon Grotesque Medium"/>
                  </w:rPr>
                </w:pPr>
                <w:r w:rsidRPr="00727D30">
                  <w:rPr>
                    <w:rFonts w:ascii="Brandon Grotesque Medium" w:hAnsi="Brandon Grotesque Medium"/>
                  </w:rPr>
                  <w:t>Hôtel de Ville</w:t>
                </w:r>
                <w:r>
                  <w:rPr>
                    <w:rFonts w:ascii="Brandon Grotesque Medium" w:hAnsi="Brandon Grotesque Medium"/>
                  </w:rPr>
                  <w:t xml:space="preserve"> - </w:t>
                </w:r>
                <w:r w:rsidRPr="00727D30">
                  <w:rPr>
                    <w:rFonts w:ascii="Brandon Grotesque Medium" w:hAnsi="Brandon Grotesque Medium"/>
                  </w:rPr>
                  <w:t xml:space="preserve">Avenue Antoine </w:t>
                </w:r>
                <w:proofErr w:type="spellStart"/>
                <w:r w:rsidRPr="00727D30">
                  <w:rPr>
                    <w:rFonts w:ascii="Brandon Grotesque Medium" w:hAnsi="Brandon Grotesque Medium"/>
                  </w:rPr>
                  <w:t>Serafini</w:t>
                </w:r>
                <w:proofErr w:type="spellEnd"/>
                <w:r w:rsidRPr="00727D30">
                  <w:rPr>
                    <w:rFonts w:ascii="Brandon Grotesque Medium" w:hAnsi="Brandon Grotesque Medium"/>
                  </w:rPr>
                  <w:t xml:space="preserve"> BP 412 - 20304 Ajaccio</w:t>
                </w:r>
                <w:r>
                  <w:rPr>
                    <w:rFonts w:ascii="Brandon Grotesque Medium" w:hAnsi="Brandon Grotesque Medium"/>
                  </w:rPr>
                  <w:t xml:space="preserve"> - Tél. +33(0)4 95 51 </w:t>
                </w:r>
                <w:r w:rsidR="0082581B">
                  <w:rPr>
                    <w:rFonts w:ascii="Brandon Grotesque Medium" w:hAnsi="Brandon Grotesque Medium"/>
                  </w:rPr>
                  <w:t>78</w:t>
                </w:r>
                <w:r>
                  <w:rPr>
                    <w:rFonts w:ascii="Brandon Grotesque Medium" w:hAnsi="Brandon Grotesque Medium"/>
                  </w:rPr>
                  <w:t xml:space="preserve"> </w:t>
                </w:r>
                <w:r w:rsidR="0082581B">
                  <w:rPr>
                    <w:rFonts w:ascii="Brandon Grotesque Medium" w:hAnsi="Brandon Grotesque Medium"/>
                  </w:rPr>
                  <w:t>65</w:t>
                </w:r>
                <w:r>
                  <w:rPr>
                    <w:rFonts w:ascii="Brandon Grotesque Medium" w:hAnsi="Brandon Grotesque Medium"/>
                  </w:rPr>
                  <w:t xml:space="preserve"> - </w:t>
                </w:r>
                <w:r w:rsidRPr="00783BDE">
                  <w:rPr>
                    <w:rFonts w:ascii="Brandon Grotesque Medium" w:hAnsi="Brandon Grotesque Medium"/>
                  </w:rPr>
                  <w:t>www.ajaccio.fr</w:t>
                </w:r>
              </w:p>
            </w:txbxContent>
          </v:textbox>
        </v:shape>
      </w:pict>
    </w:r>
    <w:r>
      <w:rPr>
        <w:noProof/>
      </w:rPr>
      <w:pict>
        <v:shape id="Zone de texte 1" o:spid="_x0000_s1027" type="#_x0000_t202" style="position:absolute;left:0;text-align:left;margin-left:-49.1pt;margin-top:128pt;width:441.8pt;height:6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z3GAIAADMEAAAOAAAAZHJzL2Uyb0RvYy54bWysU02P2yAQvVfqf0DcGztpkma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" filled="f" stroked="f" strokeweight=".5pt">
          <v:textbox style="mso-next-textbox:#Zone de texte 1">
            <w:txbxContent>
              <w:p w:rsidR="007717D8" w:rsidRPr="00A46FF7" w:rsidRDefault="007717D8" w:rsidP="007717D8">
                <w:pPr>
                  <w:pStyle w:val="xmsolistparagraph"/>
                  <w:spacing w:before="0" w:beforeAutospacing="0" w:after="0" w:afterAutospacing="0"/>
                  <w:rPr>
                    <w:rFonts w:ascii="Brandon Grotesque Black" w:hAnsi="Brandon Grotesque Black" w:cs="Calibri"/>
                    <w:b/>
                    <w:bCs/>
                    <w:color w:val="009BAC"/>
                    <w:sz w:val="20"/>
                    <w:szCs w:val="20"/>
                  </w:rPr>
                </w:pPr>
                <w:r w:rsidRPr="00A46FF7">
                  <w:rPr>
                    <w:rFonts w:ascii="Brandon Grotesque Black" w:hAnsi="Brandon Grotesque Black" w:cs="Arial"/>
                    <w:b/>
                    <w:bCs/>
                    <w:color w:val="009BAC"/>
                    <w:sz w:val="20"/>
                    <w:szCs w:val="20"/>
                  </w:rPr>
                  <w:t>DIRECTION G</w:t>
                </w:r>
                <w:r>
                  <w:rPr>
                    <w:rFonts w:ascii="Brandon Grotesque Black" w:hAnsi="Brandon Grotesque Black" w:cs="Arial"/>
                    <w:b/>
                    <w:bCs/>
                    <w:color w:val="009BAC"/>
                    <w:sz w:val="20"/>
                    <w:szCs w:val="20"/>
                  </w:rPr>
                  <w:t>É</w:t>
                </w:r>
                <w:r w:rsidRPr="00A46FF7">
                  <w:rPr>
                    <w:rFonts w:ascii="Brandon Grotesque Black" w:hAnsi="Brandon Grotesque Black" w:cs="Arial"/>
                    <w:b/>
                    <w:bCs/>
                    <w:color w:val="009BAC"/>
                    <w:sz w:val="20"/>
                    <w:szCs w:val="20"/>
                  </w:rPr>
                  <w:t>N</w:t>
                </w:r>
                <w:r>
                  <w:rPr>
                    <w:rFonts w:ascii="Brandon Grotesque Black" w:hAnsi="Brandon Grotesque Black" w:cs="Arial"/>
                    <w:b/>
                    <w:bCs/>
                    <w:color w:val="009BAC"/>
                    <w:sz w:val="20"/>
                    <w:szCs w:val="20"/>
                  </w:rPr>
                  <w:t>É</w:t>
                </w:r>
                <w:r w:rsidRPr="00A46FF7">
                  <w:rPr>
                    <w:rFonts w:ascii="Brandon Grotesque Black" w:hAnsi="Brandon Grotesque Black" w:cs="Arial"/>
                    <w:b/>
                    <w:bCs/>
                    <w:color w:val="009BAC"/>
                    <w:sz w:val="20"/>
                    <w:szCs w:val="20"/>
                  </w:rPr>
                  <w:t>RALE ADJOINTE ENVIRONNEMENT, CADRE DE VIE, ATTRACTIVIT</w:t>
                </w:r>
                <w:r>
                  <w:rPr>
                    <w:rFonts w:ascii="Brandon Grotesque Black" w:hAnsi="Brandon Grotesque Black" w:cs="Arial"/>
                    <w:b/>
                    <w:bCs/>
                    <w:color w:val="009BAC"/>
                    <w:sz w:val="20"/>
                    <w:szCs w:val="20"/>
                  </w:rPr>
                  <w:t>É</w:t>
                </w:r>
              </w:p>
              <w:p w:rsidR="007717D8" w:rsidRDefault="007717D8" w:rsidP="007717D8">
                <w:pPr>
                  <w:pStyle w:val="xmsolistparagraph"/>
                  <w:spacing w:before="0" w:beforeAutospacing="0" w:after="0" w:afterAutospacing="0"/>
                  <w:rPr>
                    <w:rFonts w:ascii="Brandon Grotesque Black" w:hAnsi="Brandon Grotesque Black" w:cs="Arial"/>
                    <w:b/>
                    <w:bCs/>
                    <w:color w:val="CBAA00"/>
                    <w:sz w:val="20"/>
                    <w:szCs w:val="20"/>
                  </w:rPr>
                </w:pPr>
                <w:r w:rsidRPr="00A46FF7">
                  <w:rPr>
                    <w:rFonts w:ascii="Brandon Grotesque Black" w:hAnsi="Brandon Grotesque Black" w:cs="Arial"/>
                    <w:b/>
                    <w:bCs/>
                    <w:color w:val="CBAA00"/>
                    <w:sz w:val="20"/>
                    <w:szCs w:val="20"/>
                  </w:rPr>
                  <w:t>DIRIZZIONI GINERALI AGHJUNTA AMBIENTI, QUATRU DI VITA, ATTRATTIVIT</w:t>
                </w:r>
                <w:r>
                  <w:rPr>
                    <w:rFonts w:ascii="Brandon Grotesque Black" w:hAnsi="Brandon Grotesque Black" w:cs="Arial"/>
                    <w:b/>
                    <w:bCs/>
                    <w:color w:val="CBAA00"/>
                    <w:sz w:val="20"/>
                    <w:szCs w:val="20"/>
                  </w:rPr>
                  <w:t>À</w:t>
                </w:r>
              </w:p>
              <w:p w:rsidR="0079293E" w:rsidRPr="00A46FF7" w:rsidRDefault="0079293E" w:rsidP="0079293E">
                <w:pPr>
                  <w:pStyle w:val="xmsolistparagraph"/>
                  <w:spacing w:before="0" w:beforeAutospacing="0" w:after="0" w:afterAutospacing="0"/>
                  <w:rPr>
                    <w:rFonts w:ascii="Brandon Grotesque Black" w:hAnsi="Brandon Grotesque Black" w:cs="Calibri"/>
                    <w:b/>
                    <w:bCs/>
                    <w:color w:val="009BAC"/>
                    <w:sz w:val="20"/>
                    <w:szCs w:val="20"/>
                  </w:rPr>
                </w:pPr>
                <w:r w:rsidRPr="00A46FF7">
                  <w:rPr>
                    <w:rFonts w:ascii="Brandon Grotesque Black" w:hAnsi="Brandon Grotesque Black" w:cs="Arial"/>
                    <w:b/>
                    <w:bCs/>
                    <w:color w:val="009BAC"/>
                    <w:sz w:val="20"/>
                    <w:szCs w:val="20"/>
                  </w:rPr>
                  <w:t>DIRECTION DU COMMERCE, DE L'ARTISANAT ET DU DOMAINE PUBLIC </w:t>
                </w:r>
              </w:p>
              <w:p w:rsidR="0079293E" w:rsidRPr="00A46FF7" w:rsidRDefault="0079293E" w:rsidP="0079293E">
                <w:pPr>
                  <w:pStyle w:val="xmsolistparagraph"/>
                  <w:spacing w:before="0" w:beforeAutospacing="0" w:after="0" w:afterAutospacing="0"/>
                  <w:rPr>
                    <w:rFonts w:ascii="Brandon Grotesque Black" w:hAnsi="Brandon Grotesque Black" w:cs="Calibri"/>
                    <w:b/>
                    <w:bCs/>
                    <w:color w:val="CBAA00"/>
                    <w:sz w:val="20"/>
                    <w:szCs w:val="20"/>
                  </w:rPr>
                </w:pPr>
                <w:r w:rsidRPr="00A46FF7">
                  <w:rPr>
                    <w:rFonts w:ascii="Brandon Grotesque Black" w:hAnsi="Brandon Grotesque Black" w:cs="Arial"/>
                    <w:b/>
                    <w:bCs/>
                    <w:color w:val="CBAA00"/>
                    <w:sz w:val="20"/>
                    <w:szCs w:val="20"/>
                  </w:rPr>
                  <w:t xml:space="preserve">DIRIZZIONI DI U CUMERCIU, DI L'ARTISGIANATU </w:t>
                </w:r>
                <w:r>
                  <w:rPr>
                    <w:rFonts w:ascii="Brandon Grotesque Black" w:hAnsi="Brandon Grotesque Black" w:cs="Arial"/>
                    <w:b/>
                    <w:bCs/>
                    <w:color w:val="CBAA00"/>
                    <w:sz w:val="20"/>
                    <w:szCs w:val="20"/>
                  </w:rPr>
                  <w:t>È</w:t>
                </w:r>
                <w:r w:rsidRPr="00A46FF7">
                  <w:rPr>
                    <w:rFonts w:ascii="Brandon Grotesque Black" w:hAnsi="Brandon Grotesque Black" w:cs="Arial"/>
                    <w:b/>
                    <w:bCs/>
                    <w:color w:val="CBAA00"/>
                    <w:sz w:val="20"/>
                    <w:szCs w:val="20"/>
                  </w:rPr>
                  <w:t xml:space="preserve"> DI U DUMINIU PUBLICU</w:t>
                </w:r>
              </w:p>
              <w:p w:rsidR="0079293E" w:rsidRPr="00FE6263" w:rsidRDefault="0079293E" w:rsidP="007717D8">
                <w:pPr>
                  <w:pStyle w:val="xmsolistparagraph"/>
                  <w:spacing w:before="0" w:beforeAutospacing="0" w:after="0" w:afterAutospacing="0"/>
                  <w:rPr>
                    <w:rFonts w:ascii="Brandon Grotesque Black" w:hAnsi="Brandon Grotesque Black" w:cs="Arial"/>
                    <w:b/>
                    <w:bCs/>
                    <w:color w:val="CBAA00"/>
                    <w:sz w:val="20"/>
                    <w:szCs w:val="20"/>
                  </w:rPr>
                </w:pPr>
              </w:p>
              <w:p w:rsidR="007717D8" w:rsidRPr="00D41CBE" w:rsidRDefault="007717D8" w:rsidP="007717D8">
                <w:pPr>
                  <w:ind w:firstLine="0"/>
                  <w:jc w:val="left"/>
                  <w:rPr>
                    <w:rFonts w:ascii="Brandon Grotesque Black" w:hAnsi="Brandon Grotesque Black"/>
                    <w:b/>
                    <w:bCs/>
                    <w:color w:val="CBAA00"/>
                    <w:sz w:val="20"/>
                    <w:szCs w:val="20"/>
                  </w:rPr>
                </w:pPr>
              </w:p>
            </w:txbxContent>
          </v:textbox>
        </v:shape>
      </w:pict>
    </w:r>
    <w:r w:rsidR="007717D8">
      <w:rPr>
        <w:noProof/>
        <w:lang w:eastAsia="fr-FR"/>
      </w:rPr>
      <w:drawing>
        <wp:anchor distT="0" distB="0" distL="114300" distR="114300" simplePos="0" relativeHeight="251659264" behindDoc="1" locked="0" layoutInCell="1" allowOverlap="1">
          <wp:simplePos x="0" y="0"/>
          <wp:positionH relativeFrom="column">
            <wp:posOffset>-914400</wp:posOffset>
          </wp:positionH>
          <wp:positionV relativeFrom="paragraph">
            <wp:posOffset>-447444</wp:posOffset>
          </wp:positionV>
          <wp:extent cx="7565743" cy="10693764"/>
          <wp:effectExtent l="0" t="0" r="381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7565743" cy="1069376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C6342"/>
    <w:multiLevelType w:val="hybridMultilevel"/>
    <w:tmpl w:val="F1D886BE"/>
    <w:lvl w:ilvl="0" w:tplc="49907A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3071B67"/>
    <w:multiLevelType w:val="hybridMultilevel"/>
    <w:tmpl w:val="00DA2620"/>
    <w:lvl w:ilvl="0" w:tplc="2124A896">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1BD2"/>
    <w:rsid w:val="000355F6"/>
    <w:rsid w:val="000A7C15"/>
    <w:rsid w:val="000B38EC"/>
    <w:rsid w:val="000C7918"/>
    <w:rsid w:val="000F6A8B"/>
    <w:rsid w:val="0010609B"/>
    <w:rsid w:val="00145609"/>
    <w:rsid w:val="001D592F"/>
    <w:rsid w:val="0023396F"/>
    <w:rsid w:val="00254457"/>
    <w:rsid w:val="002761FB"/>
    <w:rsid w:val="00297F9A"/>
    <w:rsid w:val="002B1729"/>
    <w:rsid w:val="002B6916"/>
    <w:rsid w:val="002E557B"/>
    <w:rsid w:val="00302EC7"/>
    <w:rsid w:val="003152A6"/>
    <w:rsid w:val="00336282"/>
    <w:rsid w:val="0035422F"/>
    <w:rsid w:val="003A6D97"/>
    <w:rsid w:val="003E2903"/>
    <w:rsid w:val="00402EC4"/>
    <w:rsid w:val="004700E2"/>
    <w:rsid w:val="00483480"/>
    <w:rsid w:val="004E26EA"/>
    <w:rsid w:val="005628E2"/>
    <w:rsid w:val="005B4AC0"/>
    <w:rsid w:val="005E5269"/>
    <w:rsid w:val="00642762"/>
    <w:rsid w:val="00653932"/>
    <w:rsid w:val="006E304F"/>
    <w:rsid w:val="00727D30"/>
    <w:rsid w:val="007717D8"/>
    <w:rsid w:val="00782221"/>
    <w:rsid w:val="00783BDE"/>
    <w:rsid w:val="0079293E"/>
    <w:rsid w:val="007B4AD1"/>
    <w:rsid w:val="007C0467"/>
    <w:rsid w:val="007E10F7"/>
    <w:rsid w:val="0082581B"/>
    <w:rsid w:val="008B2FDF"/>
    <w:rsid w:val="00955231"/>
    <w:rsid w:val="0095594F"/>
    <w:rsid w:val="009B4869"/>
    <w:rsid w:val="00A06D5E"/>
    <w:rsid w:val="00A978C0"/>
    <w:rsid w:val="00AA690F"/>
    <w:rsid w:val="00AB4BFE"/>
    <w:rsid w:val="00AC5CF8"/>
    <w:rsid w:val="00B15889"/>
    <w:rsid w:val="00BA781B"/>
    <w:rsid w:val="00BD483B"/>
    <w:rsid w:val="00BF00F1"/>
    <w:rsid w:val="00C11798"/>
    <w:rsid w:val="00C71BD2"/>
    <w:rsid w:val="00C95F1E"/>
    <w:rsid w:val="00CE1BA1"/>
    <w:rsid w:val="00CE5B92"/>
    <w:rsid w:val="00CF19B3"/>
    <w:rsid w:val="00D0587E"/>
    <w:rsid w:val="00D30523"/>
    <w:rsid w:val="00D41CBE"/>
    <w:rsid w:val="00DA50D2"/>
    <w:rsid w:val="00DD0EAD"/>
    <w:rsid w:val="00DE3CC1"/>
    <w:rsid w:val="00DE5CD9"/>
    <w:rsid w:val="00DF6A40"/>
    <w:rsid w:val="00E647AC"/>
    <w:rsid w:val="00E66837"/>
    <w:rsid w:val="00E818E8"/>
    <w:rsid w:val="00E83B92"/>
    <w:rsid w:val="00E8641C"/>
    <w:rsid w:val="00EC6FE3"/>
    <w:rsid w:val="00F13511"/>
    <w:rsid w:val="00F718E9"/>
    <w:rsid w:val="00FA389B"/>
    <w:rsid w:val="00FB4DA9"/>
    <w:rsid w:val="00FE62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hone"/>
  <w:shapeDefaults>
    <o:shapedefaults v:ext="edit" spidmax="2050"/>
    <o:shapelayout v:ext="edit">
      <o:idmap v:ext="edit" data="2"/>
    </o:shapelayout>
  </w:shapeDefaults>
  <w:decimalSymbol w:val=","/>
  <w:listSeparator w:val=";"/>
  <w14:docId w14:val="6CE6C556"/>
  <w15:docId w15:val="{FE5FD6B8-84E5-400D-A8BB-E5CB5A51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pPr>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4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1BD2"/>
    <w:pPr>
      <w:tabs>
        <w:tab w:val="center" w:pos="4536"/>
        <w:tab w:val="right" w:pos="9072"/>
      </w:tabs>
    </w:pPr>
  </w:style>
  <w:style w:type="character" w:customStyle="1" w:styleId="En-tteCar">
    <w:name w:val="En-tête Car"/>
    <w:basedOn w:val="Policepardfaut"/>
    <w:link w:val="En-tte"/>
    <w:uiPriority w:val="99"/>
    <w:rsid w:val="00C71BD2"/>
  </w:style>
  <w:style w:type="paragraph" w:styleId="Pieddepage">
    <w:name w:val="footer"/>
    <w:basedOn w:val="Normal"/>
    <w:link w:val="PieddepageCar"/>
    <w:uiPriority w:val="99"/>
    <w:unhideWhenUsed/>
    <w:rsid w:val="00C71BD2"/>
    <w:pPr>
      <w:tabs>
        <w:tab w:val="center" w:pos="4536"/>
        <w:tab w:val="right" w:pos="9072"/>
      </w:tabs>
    </w:pPr>
  </w:style>
  <w:style w:type="character" w:customStyle="1" w:styleId="PieddepageCar">
    <w:name w:val="Pied de page Car"/>
    <w:basedOn w:val="Policepardfaut"/>
    <w:link w:val="Pieddepage"/>
    <w:uiPriority w:val="99"/>
    <w:rsid w:val="00C71BD2"/>
  </w:style>
  <w:style w:type="paragraph" w:customStyle="1" w:styleId="xmsolistparagraph">
    <w:name w:val="x_msolistparagraph"/>
    <w:basedOn w:val="Normal"/>
    <w:rsid w:val="007717D8"/>
    <w:pPr>
      <w:spacing w:before="100" w:beforeAutospacing="1" w:after="100" w:afterAutospacing="1"/>
      <w:ind w:firstLine="0"/>
      <w:jc w:val="left"/>
    </w:pPr>
    <w:rPr>
      <w:rFonts w:ascii="Times New Roman" w:eastAsia="Times New Roman" w:hAnsi="Times New Roman" w:cs="Times New Roman"/>
      <w:lang w:eastAsia="fr-FR"/>
    </w:rPr>
  </w:style>
  <w:style w:type="paragraph" w:customStyle="1" w:styleId="Default">
    <w:name w:val="Default"/>
    <w:rsid w:val="00E647AC"/>
    <w:pPr>
      <w:autoSpaceDE w:val="0"/>
      <w:autoSpaceDN w:val="0"/>
      <w:adjustRightInd w:val="0"/>
      <w:ind w:firstLine="0"/>
      <w:jc w:val="left"/>
    </w:pPr>
    <w:rPr>
      <w:rFonts w:ascii="Times New Roman" w:eastAsia="Times New Roman" w:hAnsi="Times New Roman" w:cs="Times New Roman"/>
      <w:color w:val="000000"/>
      <w:lang w:eastAsia="fr-FR"/>
    </w:rPr>
  </w:style>
  <w:style w:type="paragraph" w:styleId="Textedebulles">
    <w:name w:val="Balloon Text"/>
    <w:basedOn w:val="Normal"/>
    <w:link w:val="TextedebullesCar"/>
    <w:uiPriority w:val="99"/>
    <w:semiHidden/>
    <w:unhideWhenUsed/>
    <w:rsid w:val="006E304F"/>
    <w:rPr>
      <w:rFonts w:ascii="Tahoma" w:hAnsi="Tahoma" w:cs="Tahoma"/>
      <w:sz w:val="16"/>
      <w:szCs w:val="16"/>
    </w:rPr>
  </w:style>
  <w:style w:type="character" w:customStyle="1" w:styleId="TextedebullesCar">
    <w:name w:val="Texte de bulles Car"/>
    <w:basedOn w:val="Policepardfaut"/>
    <w:link w:val="Textedebulles"/>
    <w:uiPriority w:val="99"/>
    <w:semiHidden/>
    <w:rsid w:val="006E30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egifrance.gouv.fr/affichCodeArticle.do?cidTexte=LEGITEXT000006070299&amp;idArticle=LEGIARTI000006361200&amp;dateTexte=&amp;categorieLien=ci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917</Words>
  <Characters>5048</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Christophe Attard</dc:creator>
  <cp:lastModifiedBy>Rudas Corinne</cp:lastModifiedBy>
  <cp:revision>8</cp:revision>
  <cp:lastPrinted>2022-03-04T14:38:00Z</cp:lastPrinted>
  <dcterms:created xsi:type="dcterms:W3CDTF">2022-03-04T14:50:00Z</dcterms:created>
  <dcterms:modified xsi:type="dcterms:W3CDTF">2024-02-20T13:46:00Z</dcterms:modified>
</cp:coreProperties>
</file>